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i/>
          <w:iCs/>
          <w:sz w:val="13"/>
          <w:lang w:eastAsia="ru-RU"/>
        </w:rPr>
        <w:t xml:space="preserve">Вносится Главой </w:t>
      </w:r>
      <w:proofErr w:type="spellStart"/>
      <w:r w:rsidRPr="00323CF2">
        <w:rPr>
          <w:rFonts w:ascii="Times New Roman" w:eastAsia="Times New Roman" w:hAnsi="Times New Roman" w:cs="Times New Roman"/>
          <w:i/>
          <w:iCs/>
          <w:sz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i/>
          <w:iCs/>
          <w:sz w:val="13"/>
          <w:lang w:eastAsia="ru-RU"/>
        </w:rPr>
        <w:t xml:space="preserve"> района</w:t>
      </w:r>
    </w:p>
    <w:p w:rsidR="00323CF2" w:rsidRPr="00323CF2" w:rsidRDefault="00323CF2" w:rsidP="0032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i/>
          <w:iCs/>
          <w:sz w:val="13"/>
          <w:lang w:eastAsia="ru-RU"/>
        </w:rPr>
        <w:t>ПРОЕКТ</w:t>
      </w:r>
    </w:p>
    <w:p w:rsidR="00323CF2" w:rsidRPr="00323CF2" w:rsidRDefault="00323CF2" w:rsidP="0032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ПРЕДСТАВИТЕЛЬНОЕ СОБРАНИЕ                                      ПРИСТЕНСКОГО РАЙОНА КУРСКОЙ ОБЛАСТИ</w:t>
      </w:r>
    </w:p>
    <w:p w:rsidR="00323CF2" w:rsidRPr="00323CF2" w:rsidRDefault="00323CF2" w:rsidP="0032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ЧЕТВЕРТОГО СОЗЫВА </w:t>
      </w:r>
    </w:p>
    <w:p w:rsidR="00323CF2" w:rsidRPr="00323CF2" w:rsidRDefault="00323CF2" w:rsidP="0032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                                                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РЕШЕНИЕ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i/>
          <w:iCs/>
          <w:sz w:val="13"/>
          <w:lang w:eastAsia="ru-RU"/>
        </w:rPr>
        <w:t>Принято Представительным Собранием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proofErr w:type="spellStart"/>
      <w:r w:rsidRPr="00323CF2">
        <w:rPr>
          <w:rFonts w:ascii="Times New Roman" w:eastAsia="Times New Roman" w:hAnsi="Times New Roman" w:cs="Times New Roman"/>
          <w:i/>
          <w:iCs/>
          <w:sz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i/>
          <w:iCs/>
          <w:sz w:val="13"/>
          <w:lang w:eastAsia="ru-RU"/>
        </w:rPr>
        <w:t xml:space="preserve"> района Курской области                                            </w:t>
      </w:r>
      <w:proofErr w:type="spellStart"/>
      <w:r w:rsidRPr="00323CF2">
        <w:rPr>
          <w:rFonts w:ascii="Times New Roman" w:eastAsia="Times New Roman" w:hAnsi="Times New Roman" w:cs="Times New Roman"/>
          <w:i/>
          <w:iCs/>
          <w:sz w:val="13"/>
          <w:lang w:eastAsia="ru-RU"/>
        </w:rPr>
        <w:t>_________________</w:t>
      </w:r>
      <w:proofErr w:type="gramStart"/>
      <w:r w:rsidRPr="00323CF2">
        <w:rPr>
          <w:rFonts w:ascii="Times New Roman" w:eastAsia="Times New Roman" w:hAnsi="Times New Roman" w:cs="Times New Roman"/>
          <w:i/>
          <w:iCs/>
          <w:sz w:val="13"/>
          <w:lang w:eastAsia="ru-RU"/>
        </w:rPr>
        <w:t>г</w:t>
      </w:r>
      <w:proofErr w:type="spellEnd"/>
      <w:proofErr w:type="gramEnd"/>
      <w:r w:rsidRPr="00323CF2">
        <w:rPr>
          <w:rFonts w:ascii="Times New Roman" w:eastAsia="Times New Roman" w:hAnsi="Times New Roman" w:cs="Times New Roman"/>
          <w:i/>
          <w:iCs/>
          <w:sz w:val="13"/>
          <w:lang w:eastAsia="ru-RU"/>
        </w:rPr>
        <w:t>.</w:t>
      </w: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br/>
      </w: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 xml:space="preserve">О внесении изменений и дополнений в «Положение об оплате труда работников Муниципального казенного учреждения «Служба обеспечения деятельности Администрации </w:t>
      </w:r>
      <w:proofErr w:type="spellStart"/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 xml:space="preserve"> района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 xml:space="preserve">Курской области», подведомственного Администрации </w:t>
      </w:r>
      <w:proofErr w:type="spellStart"/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 xml:space="preserve"> района Курской области»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 В соответствии  с  Трудовым кодексом Российской Федерации,  Федеральным законом от 06 октября 2003 года № 131-ФЗ «Об общих принципах организации местного самоуправления в Российской Федерации»,   руководствуясь Уставом муниципального района «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Пристенский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район» Курской области,           ПРЕДСТАВИТЕЛЬНОЕ СОБРАНИЕ ПРИСТЕНСКОГО РАЙОНА КУРСКОЙ ОБЛАСТИ </w:t>
      </w: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РЕШИЛО: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           1. Раздел 1. Общие положения 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Положения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об оплате труда работников Муниципального казенного учреждения «Служба обеспечения деятельности Администрации 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района Курской области», подведомственного Администрации 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района Курской области, утвержденное Решением Представительного Собрания 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района Курской области от 28 декабря 2016 года № 92 </w:t>
      </w:r>
      <w:proofErr w:type="gram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( </w:t>
      </w:r>
      <w:proofErr w:type="gram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в редакции решений Представительного Собрания 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района Курской области от 28.07.2017 № 40, от 31.08.2018 № 47, от 26.07.2019 №7/42; от 18.10.2019 № 10/53) дополнить пунктом 1.13. следующего содержания: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«1.13.  Обеспечение повышения уровня реального содержания заработной платы работникам Учреждения включает индексацию заработной платы в связи с ростом потребительских цен на товары и услуги.   Индексация заработной платы работникам Учреждения производится в порядке, установленном трудовым законодательством и иными нормативными правовыми актами Курской области и органов местного самоуправления 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района Курской области, содержащими нормы трудового права</w:t>
      </w:r>
      <w:proofErr w:type="gram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.».</w:t>
      </w:r>
      <w:proofErr w:type="gramEnd"/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       2. Увеличить с 1 октября 2020 года на 3,0 процента оклады работникам Муниципального казенного учреждения «Служба обеспечения деятельности администрации 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района Курской области».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       3. Приложения № 1, № 2, № 3 к Положению об оплате труда работников Муниципального казенного учреждения «Служба обеспечения деятельности Администрации 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района Курской области», подведомственного Администрации 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района Курской области, утвержденному Решением Представительного Собрания 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района Курской области от 28 декабря 2016 года № 92 </w:t>
      </w:r>
      <w:proofErr w:type="gram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( </w:t>
      </w:r>
      <w:proofErr w:type="gram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в редакции решений Представительного Собрания </w:t>
      </w:r>
      <w:proofErr w:type="spellStart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района Курской области от 28.07.2017 № 40, от 31.08.2018 № 47, от 26.07.2019 №7/42; от 18.10.2019 № 10/53) во исполнение пункта 2 настоящего решения изложить в новой редакции (прилагаются).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         4. Решение вступает в силу со дня его подписания и  распространяется на правоотношения, возникшие с 1 октября 2020 года.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Председатель Представительного Собрания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proofErr w:type="spellStart"/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 xml:space="preserve"> района Курской области                                </w:t>
      </w:r>
      <w:proofErr w:type="spellStart"/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В.К.Чепурин</w:t>
      </w:r>
      <w:proofErr w:type="spellEnd"/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 xml:space="preserve">Глава </w:t>
      </w:r>
      <w:proofErr w:type="spellStart"/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Пристенского</w:t>
      </w:r>
      <w:proofErr w:type="spellEnd"/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 xml:space="preserve"> района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Курской области                                                                          В.В.Петров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№______  от ________________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323CF2" w:rsidRPr="00323CF2" w:rsidTr="00323CF2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Приложение № 1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к  Положению об оплате труда работников Муниципального казенного учреждения «Служба обеспечения деятельности администрации </w:t>
            </w:r>
            <w:proofErr w:type="spell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района Курской области», подведомственному Администрации </w:t>
            </w:r>
            <w:proofErr w:type="spell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района Курской области, утвержденному решением Представительного Собрания </w:t>
            </w:r>
            <w:proofErr w:type="spell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района Курской области от 28.12.2016 № 92 (в редакции решения </w:t>
            </w:r>
            <w:proofErr w:type="spellStart"/>
            <w:proofErr w:type="gram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</w:t>
            </w:r>
            <w:proofErr w:type="gram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____________№___</w:t>
            </w:r>
            <w:proofErr w:type="spell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)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lastRenderedPageBreak/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ДОЛЖНОСТНЫЕ ОКЛАДЫ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РАБОТНИКОВ, ЗАНИМАЮЩИХ ДОЛЖНОСТИ РУКОВОДИТЕЛЕЙ, СПЕЦИАЛИСТОВ И  СЛУЖАЩИХ НА ОСНОВЕ ОТНЕСЕНИЯ ЗАНИМАЕМЫХ ИМИ ДОЛЖНОСТЕЙ СЛУЖАЩИХ К ПРОФЕССИОНАЛЬНЫМ КВАЛИФИКАЦИОННЫМ ГРУППАМ МУНИЦИПАЛЬНОГО КАЗЕННОГО УЧРЕЖДЕНИЯ «СЛУЖБА ОБЕСПЕЧЕНИЯ ДЕЯТЕЛЬНОСТИ АДМИНИСТРАЦИИ ПРИСТЕНСКОГО РАЙОНА КУРСКОЙ ОБЛАСТИ»  </w:t>
      </w: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tbl>
      <w:tblPr>
        <w:tblW w:w="69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5"/>
        <w:gridCol w:w="3046"/>
        <w:gridCol w:w="1400"/>
      </w:tblGrid>
      <w:tr w:rsidR="00323CF2" w:rsidRPr="00323CF2" w:rsidTr="00323CF2">
        <w:trPr>
          <w:tblCellSpacing w:w="0" w:type="dxa"/>
        </w:trPr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Квалификационные уровни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 Должности, отнесенные к квалификационным уровням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Должностной оклад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(руб.)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76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Должности, отнесенные к ПКГ "Общеотраслевые должности служащих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второго уровня"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1-й квалификационный уровень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2-й квалификационный уровень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Заведующий хозяйством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5694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3-й квалификационный уровень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4-й квалификационный уровень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Механик по ремонту и выпуску автотранспорта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6446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76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Должности, отнесенные к ПКГ "Общеотраслевые должности служащих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третьего уровня"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27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1-й квалификационный уровень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Программист</w:t>
            </w:r>
          </w:p>
        </w:tc>
        <w:tc>
          <w:tcPr>
            <w:tcW w:w="15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6875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Специалист по кадрам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</w:tbl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323CF2" w:rsidRPr="00323CF2" w:rsidTr="00323CF2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Приложение №2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к  Положению об оплате труда работников Муниципального казенного учреждения «Служба обеспечения деятельности администрации </w:t>
            </w:r>
            <w:proofErr w:type="spell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района Курской области», подведомственному Администрации </w:t>
            </w:r>
            <w:proofErr w:type="spell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района Курской области, утвержденному решением Представительного Собрания </w:t>
            </w:r>
            <w:proofErr w:type="spell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района Курской области от 28.12.2016 № 92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(в редакции решения </w:t>
            </w:r>
            <w:proofErr w:type="gram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</w:t>
            </w:r>
            <w:proofErr w:type="gram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___________№___)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</w:tbl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ДОЛЖНОСТНЫЕ ОКЛАДЫ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РАБОТНИКОВ, ЗАНИМАЮЩИХ ДОЛЖНОСТИ РУКОВОДИТЕЛЕЙ, СПЕЦИАЛИСТОВ И  СЛУЖАЩИХ НА ОСНОВЕ ОТНЕСЕНИЯ ЗАНИМАЕМЫХ ИМИ ДОЛЖНОСТЕЙ  К ПРОФЕССИОНАЛЬНЫМ КВАЛИФИКАЦИОННЫМ ГРУППАМ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proofErr w:type="gramStart"/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»М</w:t>
      </w:r>
      <w:proofErr w:type="gramEnd"/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УНИЦИПАЛЬНОГО КАЗЕННОГО УЧРЕЖДЕНИЯ «СЛУЖБА ОБЕСПЕЧЕНИЯ ДЕЯТЕЛЬНОСТИ АДМИНИСТРАЦИИ ПРИСТЕНСКОГО РАЙОНА КУРСКОЙ ОБЛАСТИ»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tbl>
      <w:tblPr>
        <w:tblW w:w="69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4"/>
        <w:gridCol w:w="3133"/>
        <w:gridCol w:w="1404"/>
      </w:tblGrid>
      <w:tr w:rsidR="00323CF2" w:rsidRPr="00323CF2" w:rsidTr="00323CF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Квалификационные уровни</w:t>
            </w:r>
          </w:p>
        </w:tc>
        <w:tc>
          <w:tcPr>
            <w:tcW w:w="3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 Должности, отнесенные к квалификационным уровням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 Должностной оклад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(руб.)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76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Pr="00323CF2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Профессиональная квалификационная группа  второго уровня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1-й квалификационный уровень</w:t>
            </w:r>
          </w:p>
        </w:tc>
        <w:tc>
          <w:tcPr>
            <w:tcW w:w="3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Диспетчер  системы - 112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5156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76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Профессиональная квалификационная группа  третьего  уровня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1-й квалификационный уровень</w:t>
            </w:r>
          </w:p>
        </w:tc>
        <w:tc>
          <w:tcPr>
            <w:tcW w:w="3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Оперативный дежурный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6875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3-й квалификационный уровень</w:t>
            </w:r>
          </w:p>
        </w:tc>
        <w:tc>
          <w:tcPr>
            <w:tcW w:w="3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Начальник единой дежурно – диспетчерской службы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7735</w:t>
            </w:r>
          </w:p>
        </w:tc>
      </w:tr>
    </w:tbl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323CF2" w:rsidRPr="00323CF2" w:rsidTr="00323CF2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Приложение № 3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к  Положению об оплате труда работников Муниципального казенного учреждения «Служба обеспечения деятельности администрации </w:t>
            </w:r>
            <w:proofErr w:type="spell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района Курской области», подведомственному Администрации </w:t>
            </w:r>
            <w:proofErr w:type="spell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района Курской области, утвержденному решением Представительного Собрания </w:t>
            </w:r>
            <w:proofErr w:type="spell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района Курской области от 28.12.2016 № 92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(в редакции решения </w:t>
            </w:r>
            <w:proofErr w:type="gramStart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</w:t>
            </w:r>
            <w:proofErr w:type="gramEnd"/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___________№___)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</w:tbl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lastRenderedPageBreak/>
        <w:t> 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ДОЛЖНОСТНЫЕ ОКЛАДЫ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РАБОТНИКОВ УЧРЕЖДЕНИЯ, НА ОСНОВЕ ОТНЕСЕНИЯ ДОЛЖНОСТЕЙ  К ПРОФЕССИОНАЛЬНЫМ КВАЛИФИКАЦИОННЫМ ГРУППАМ ОБЩЕОТРАСЛЕВЫХ ПРОФЕССИЙ РАБОЧИХ МУНИЦИПАЛЬНОГО КАЗЕННОГО УЧРЕЖДЕНИЯ «СЛУЖБА ОБЕСПЕЧЕНИЯ ДЕЯТЕЛЬНОСТИ АДМИНИСТРАЦИИ ПРИСТЕНСКОГО РАЙОНА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КУРСКОЙ ОБЛАСТИ»</w:t>
      </w:r>
    </w:p>
    <w:p w:rsidR="00323CF2" w:rsidRPr="00323CF2" w:rsidRDefault="00323CF2" w:rsidP="00323CF2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23CF2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tbl>
      <w:tblPr>
        <w:tblW w:w="69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0"/>
        <w:gridCol w:w="307"/>
        <w:gridCol w:w="2852"/>
        <w:gridCol w:w="1687"/>
      </w:tblGrid>
      <w:tr w:rsidR="00323CF2" w:rsidRPr="00323CF2" w:rsidTr="00323CF2">
        <w:trPr>
          <w:tblCellSpacing w:w="0" w:type="dxa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Квалификационные уровни</w:t>
            </w:r>
          </w:p>
        </w:tc>
        <w:tc>
          <w:tcPr>
            <w:tcW w:w="35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 Должностной оклад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(руб.)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76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Профессии, отнесенные к ПКГ "Общеотраслевые профессии рабочих первого уровня"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254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1-й квалификационный уровень</w:t>
            </w:r>
          </w:p>
        </w:tc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Дворник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4297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323CF2" w:rsidRPr="00323CF2" w:rsidTr="00323CF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Сторож (вахтер)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323CF2" w:rsidRPr="00323CF2" w:rsidTr="00323CF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Уборщик территорий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323CF2" w:rsidRPr="00323CF2" w:rsidTr="00323CF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Слесарь по ремонту автомобилей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323CF2" w:rsidRPr="00323CF2" w:rsidTr="00323CF2">
        <w:trPr>
          <w:tblCellSpacing w:w="0" w:type="dxa"/>
        </w:trPr>
        <w:tc>
          <w:tcPr>
            <w:tcW w:w="76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Профессии, отнесенные к ПКГ "Общеотраслевые профессии рабочих второго уровня"</w:t>
            </w:r>
          </w:p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 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254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1-й квалификационный уровень</w:t>
            </w:r>
          </w:p>
        </w:tc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Водитель автомобиля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5587</w:t>
            </w:r>
          </w:p>
        </w:tc>
      </w:tr>
      <w:tr w:rsidR="00323CF2" w:rsidRPr="00323CF2" w:rsidTr="00323CF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3CF2" w:rsidRPr="00323CF2" w:rsidRDefault="00323CF2" w:rsidP="0032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3C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Тракторист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323CF2" w:rsidRPr="00323CF2" w:rsidTr="00323CF2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3CF2" w:rsidRPr="00323CF2" w:rsidRDefault="00323CF2" w:rsidP="0032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60C54" w:rsidRPr="00323CF2" w:rsidRDefault="00560C54" w:rsidP="00323CF2"/>
    <w:sectPr w:rsidR="00560C54" w:rsidRPr="00323CF2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19"/>
  </w:num>
  <w:num w:numId="13">
    <w:abstractNumId w:val="22"/>
  </w:num>
  <w:num w:numId="14">
    <w:abstractNumId w:val="1"/>
  </w:num>
  <w:num w:numId="15">
    <w:abstractNumId w:val="6"/>
  </w:num>
  <w:num w:numId="16">
    <w:abstractNumId w:val="21"/>
  </w:num>
  <w:num w:numId="17">
    <w:abstractNumId w:val="12"/>
  </w:num>
  <w:num w:numId="18">
    <w:abstractNumId w:val="18"/>
  </w:num>
  <w:num w:numId="19">
    <w:abstractNumId w:val="13"/>
  </w:num>
  <w:num w:numId="20">
    <w:abstractNumId w:val="11"/>
  </w:num>
  <w:num w:numId="21">
    <w:abstractNumId w:val="10"/>
  </w:num>
  <w:num w:numId="22">
    <w:abstractNumId w:val="3"/>
  </w:num>
  <w:num w:numId="23">
    <w:abstractNumId w:val="15"/>
  </w:num>
  <w:num w:numId="24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20D94"/>
    <w:rsid w:val="00231F95"/>
    <w:rsid w:val="00237CE2"/>
    <w:rsid w:val="00240582"/>
    <w:rsid w:val="0024788A"/>
    <w:rsid w:val="00266C68"/>
    <w:rsid w:val="00273A1E"/>
    <w:rsid w:val="0028738E"/>
    <w:rsid w:val="00295BDE"/>
    <w:rsid w:val="00296FF6"/>
    <w:rsid w:val="002A01C3"/>
    <w:rsid w:val="002B6759"/>
    <w:rsid w:val="002E1CFF"/>
    <w:rsid w:val="002F14E8"/>
    <w:rsid w:val="002F7FF8"/>
    <w:rsid w:val="00323CF2"/>
    <w:rsid w:val="003262FB"/>
    <w:rsid w:val="00343D56"/>
    <w:rsid w:val="003507AE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1065</Words>
  <Characters>6073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dcterms:created xsi:type="dcterms:W3CDTF">2023-11-13T09:42:00Z</dcterms:created>
  <dcterms:modified xsi:type="dcterms:W3CDTF">2023-11-14T06:23:00Z</dcterms:modified>
</cp:coreProperties>
</file>