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63F" w:rsidRPr="009A363F" w:rsidRDefault="009A363F" w:rsidP="009A363F">
      <w:pPr>
        <w:widowControl/>
        <w:shd w:val="clear" w:color="auto" w:fill="EEEEEE"/>
        <w:autoSpaceDN/>
        <w:adjustRightInd/>
        <w:jc w:val="center"/>
        <w:rPr>
          <w:rFonts w:ascii="Tahoma" w:eastAsia="Times New Roman" w:hAnsi="Tahoma" w:cs="Tahoma"/>
          <w:b/>
          <w:bCs/>
          <w:color w:val="000000"/>
          <w:sz w:val="15"/>
          <w:szCs w:val="15"/>
        </w:rPr>
      </w:pPr>
      <w:r w:rsidRPr="009A363F">
        <w:rPr>
          <w:rFonts w:ascii="Tahoma" w:eastAsia="Times New Roman" w:hAnsi="Tahoma" w:cs="Tahoma"/>
          <w:b/>
          <w:bCs/>
          <w:color w:val="000000"/>
          <w:sz w:val="15"/>
          <w:szCs w:val="15"/>
        </w:rPr>
        <w:t>Годовой отчет о ходе реализации и оценке эффективности муниципальной программы Пристенского района Курской области «Развитие муниципальной службы в Администрации Пристенского района Курской области на 2019-2021 годы»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Муниципальная программа «Развитие  муниципальной службы в Администрации Пристенского района Курской области на 2019-2021 годы» (далее Программа) утверждена постановлением Администрации Пристенского района Курской области от 29.09.2017г. №617-па (в редакции постановлений от 21.07.2020 № 391-па, от 29.12.2020 № 659-па).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В 2020 году в муниципальную программу были внесены изменения постановлением Администрации Пристенского района Курской области от 21.07.2020 № 391-па, 29.12.2020 № 659-па,данные изменения были внесены в связи с принятием Решения Представительного Собрания Пристенского района Курской области четвертого созыва от 20 декабря 2019 года №12/78 «О бюджете муниципального района «Пристенский район» Курской области на 2020 год и на плановый период 2021-2023 годов» (с учетов внесенных изменений),  в связи с изменениями, касающимися объемов финансирования.</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Программа разработана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законом Курской области от 13.07. 2017 № 60 – ЗКО «О муниципальной службе в Курской области».</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Целями и задачами Программы являются:</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развитие и дальнейшее совершенствование  муниципальной службы Пристенского  района Курской области (далее – муниципальная служба);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развитие    нормативной    правовой    базы, регулирующей вопросы муниципальной службы;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 создание   единой    системы    непрерывного обучения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формирование эффективной системы управления муниципальной службой;</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обеспечение стабильности кадрового состава и оптимизация численности Администрации Пристенского района;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обеспечение равного доступа граждан к муниципальной службе;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создание системы открытости, гласности в деятельности органов местного самоуправления;</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укрепление материально-технической базы, необходимой для эффективного функционирования муниципальной службы;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формирование высококвалифицированного  кадрового состава  муниципальной службы, обеспечивающего  эффективное  муниципальное управление;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совершенствование      правовой                               базы по вопросам  муниципальной службы  в соответствии с федеральным и региональным законодательством;</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внедрение новых принципов кадровой политики в системе муниципальной службы;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совершенствование механизмов  стимулирования, оценки деятельности и обеспечения  социальных гарантий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совершенствование механизмов взаимодействия муниципальной службы и гражданского общества;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привлечение на муниципальную службу молодых специалистов, обеспечение преемственности и передачи им накопленного профессионального опыта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развитие антикоррупционных механизмов в рамках реализации  кадровой политики в Администрации Пристенского района;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обеспечение открытости и прозрачности муниципальной службы;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методическое обеспечение  развития муниципальной службы;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улучшение условий труда и сохранение здоровья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Реализация муниципальной программы в  2020 г. позволила осуществить  совершенствование и развитие нормативной правовой базы Администрации Пристенского района, регулирующей вопросы муниципальной службы; повышение эффективности кадровой политики в системе муниципальной службы в целях улучшения кадрового состава муниципальных служащих; снижение количества актов прокурорского реагирования на нормативные правовые акты; увеличение удельного веса муниципальных служащих и лиц, состоящих в резерве управленческих кадров муниципального района «Пристенский район» Курской области, прошедших повышение квалификации; увеличение удельного веса муниципальных служащих, принявших участие в семинарах и совещаниях по вопросам муниципальной службы; совершенствование и развитие нормативной правовой базы Пристенского района, регулирующей вопросы муниципальной службы; повышение эффективности кадровой политики в системе муниципальной службы в целях улучшения кадрового состава муниципальных служащих; создание необходимых условий для профессионального развития муниципальных служащих; степень соответствия нормативной правовой базы Администрации Пристенского района по вопросам муниципальной службы законодательству Российской Федерации, Курской области (от общего количества принятых нормативных правовых актов Администрации Пристенского района по вопросам муниципальной службы); обучение резерва управленческих кадров Пристенского района; обучение кадрового резерва  на муниципальной службе в Администрации Пристенского района; повышение прозрачности деятельности органов местного самоуправления; повышение эффективности деятельности органов местного самоуправления по решению вопросов местного значения и переданных государственных полномочий; достижение необходимого уровня исполнения муниципальными служащими своих должностных обязанностей; оснащение рабочих мест муниципальных служащих в соответствии с современными техническими требованиями и требованиями действующего законодательства об информатизации и защите персональных данных; улучшение условий труда и сохранение здоровья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Совершенствуется  система контроля соблюдения муниципальными служащими, установленных законодательством Российской Федерации, Курской области, нормативными правовыми актами Пристенского района требований, ограничений и запретов, связанных с прохождением муниципальной службы и реализуются меры по противодействию коррупции на муниципальной службе.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Создана система непрерывной подготовки и повышения квалификации муниципальных служащих за счет средств бюджета Администрации Пристенского района. Повышение квалификации происходит 1 раз в три года. Для этого в бюджете района было предусмотрено 57,1 тыс. рублей. В результате в 2020 году 13 муниципальных служащих Администрации Пристенского района получили удостоверения об окончании обучения по повышению квалификации.</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Привлекаются на муниципальную службу молодые специалисты, обеспечивается преемственность и передача им накопленного профессионального опыта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Обеспечивается  открытость и прозрачность муниципальной службы: муниципальные правовые акты, касающиеся вопросов муниципальной службы  Администрации Пристенского района, размещаются на официальном сайте муниципального  образования «Пристенский район» Курской области в сети «Интернет».</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Внедряются современные технологии и методы кадровой работы, направленные на повышение профессиональной компетентности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Целевые показатели и индикаторы выполнены не в полном объеме: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доля муниципальных служащих, прошедших повышение квалификации – 130 % (план -10 чел., прошли обучение 13 чел.)</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доля муниципальных служащих, прошедших аттестацию – 52% (план 52 %);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Муниципальная программа включает в себя  одну подпрограмму «Реализация мероприятий, направленных на развитие муниципальной службы  на 2019-2021 годы»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Оценка эффективности реализации Программы  «Развитие  муниципальной  службы в Администрации Пристенского района Курской области на 2019-2021 годы»   за 2019 год осуществляется по итогам  ее исполнения за отчетный  период.</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Оценка достижения по окончании  этапа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этап.</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lastRenderedPageBreak/>
        <w:t>Аттестацию прошли 27 муниципальных служащих-52% от общего количества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13   муниципальных служащих прошли повышение квалификации в Курской академии государственной и муниципальной службы это 25 % от общего числа муниципальных служащих.</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Сведения о достижениях значений показателей (индикаторов) муниципальной программы«Развитие  муниципальной службы в Администрации Пристенского района Курской области на 2019-2021 годы» за 2020 год отражены в таблице №1.</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Сведения об исполнении муниципальной программы«Развитие  муниципальной службы в Администрации Пристенского района Курской области на 2019-2021 годы»за 2020 год в разрезе подпрограммы отражены в таблице №2.</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Сведения об  использовании бюджетных ассигнований бюджета муниципального района «Пристенский район» в разрезе средств бюджетов различных уровней и разделов бюджетной классификации расходов на реализацию муниципальной программы «Развитие  муниципальной службы в Администрации Пристенского района Курской области на 2019-2021 годы» за 2020 год отражены в таблице №3.</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Перечень мероприятий муниципальной программы «Развитие  муниципальной службы в Администрации Пристенского района Курской области на 2019-2021 годы» за 2020 год отражены в таблице №4.</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Оценка эффективности реализации  муниципальной программы «Развитие  муниципальной службы в Администрации Пристенского района Курской области на 2019-2021 годы» за 2020 год состоит из:</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оценка степени соответствия запланированному уровню затрат;</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ССуз=Зф/Зп, где: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ССуз- степень соответствия запланированному уровню расходов;</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Зф- фактические расходы на реализацию подпрограммы в отчетном году;</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Зп- плановые расходы на реализацию подпрограммы в отчетном году.</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1=57100/57100</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оценка эффективности использования средств бюджета муниципального района «Пристенский район» Курской области;</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Эис=СРм/ССуз, где: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Эис- эффективность использования средств бюджета;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СРм- степень реализации мероприятий, полностью или частично финансируемых из средств бюджета;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ССуз- степень соответствия запланированному уровню расходов из всех источников.</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1=1/1</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оценка степени достижения целей и решения задач подпрограмм;</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СДп/ппз=ЗПп/пф/ЗПп/пп, где: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СДп/ппз-- степень достижения планового значения показателя (индикатора, характеризующего цели и задачи подпрограмм);</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ЗПп/пФ-значение показателя (индикатора), характеризующегоцели и задачи подпрограммы,  фактически достигнутое на конец отчетного периода;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ЗПп/пп-плановое  значение показателя (индикатора), характеризующего цели и задачи подпрограммы.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1,3=13/10</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Степень реализации подпрограммы: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где: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СРп/п- степень реализации подпрограммы;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СДп/ппз- степень достижения планового значения показателя (индикатора), характеризующего цели и задачи подпрограммы;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M- число показателей (индикаторов), характеризующих цели и задачи подпрограммы.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1 =(4)/4</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оценка эффективности реализации муниципальной 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ЭРгп=0,5*СРгп+ *Kj, где:</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ЭР</w:t>
      </w:r>
      <w:r w:rsidRPr="009A363F">
        <w:rPr>
          <w:rFonts w:ascii="Tahoma" w:eastAsia="Times New Roman" w:hAnsi="Tahoma" w:cs="Tahoma"/>
          <w:color w:val="000000"/>
          <w:sz w:val="13"/>
          <w:szCs w:val="13"/>
          <w:vertAlign w:val="subscript"/>
        </w:rPr>
        <w:t>гп</w:t>
      </w:r>
      <w:r w:rsidRPr="009A363F">
        <w:rPr>
          <w:rFonts w:ascii="Tahoma" w:eastAsia="Times New Roman" w:hAnsi="Tahoma" w:cs="Tahoma"/>
          <w:color w:val="000000"/>
          <w:sz w:val="13"/>
          <w:szCs w:val="13"/>
        </w:rPr>
        <w:t> - эффективность реализации муниципальной 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СР</w:t>
      </w:r>
      <w:r w:rsidRPr="009A363F">
        <w:rPr>
          <w:rFonts w:ascii="Tahoma" w:eastAsia="Times New Roman" w:hAnsi="Tahoma" w:cs="Tahoma"/>
          <w:color w:val="000000"/>
          <w:sz w:val="13"/>
          <w:szCs w:val="13"/>
          <w:vertAlign w:val="subscript"/>
        </w:rPr>
        <w:t>гп</w:t>
      </w:r>
      <w:r w:rsidRPr="009A363F">
        <w:rPr>
          <w:rFonts w:ascii="Tahoma" w:eastAsia="Times New Roman" w:hAnsi="Tahoma" w:cs="Tahoma"/>
          <w:color w:val="000000"/>
          <w:sz w:val="13"/>
          <w:szCs w:val="13"/>
        </w:rPr>
        <w:t> - степень реализации муниципальной 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ЭР</w:t>
      </w:r>
      <w:r w:rsidRPr="009A363F">
        <w:rPr>
          <w:rFonts w:ascii="Tahoma" w:eastAsia="Times New Roman" w:hAnsi="Tahoma" w:cs="Tahoma"/>
          <w:color w:val="000000"/>
          <w:sz w:val="13"/>
          <w:szCs w:val="13"/>
          <w:vertAlign w:val="subscript"/>
        </w:rPr>
        <w:t>п/п</w:t>
      </w:r>
      <w:r w:rsidRPr="009A363F">
        <w:rPr>
          <w:rFonts w:ascii="Tahoma" w:eastAsia="Times New Roman" w:hAnsi="Tahoma" w:cs="Tahoma"/>
          <w:color w:val="000000"/>
          <w:sz w:val="13"/>
          <w:szCs w:val="13"/>
        </w:rPr>
        <w:t> - эффективность реализации подпрограммы;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k</w:t>
      </w:r>
      <w:r w:rsidRPr="009A363F">
        <w:rPr>
          <w:rFonts w:ascii="Tahoma" w:eastAsia="Times New Roman" w:hAnsi="Tahoma" w:cs="Tahoma"/>
          <w:color w:val="000000"/>
          <w:sz w:val="13"/>
          <w:szCs w:val="13"/>
          <w:vertAlign w:val="subscript"/>
        </w:rPr>
        <w:t>j</w:t>
      </w:r>
      <w:r w:rsidRPr="009A363F">
        <w:rPr>
          <w:rFonts w:ascii="Tahoma" w:eastAsia="Times New Roman" w:hAnsi="Tahoma" w:cs="Tahoma"/>
          <w:color w:val="000000"/>
          <w:sz w:val="13"/>
          <w:szCs w:val="13"/>
        </w:rPr>
        <w:t> -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w:t>
      </w:r>
      <w:r w:rsidRPr="009A363F">
        <w:rPr>
          <w:rFonts w:ascii="Tahoma" w:eastAsia="Times New Roman" w:hAnsi="Tahoma" w:cs="Tahoma"/>
          <w:color w:val="000000"/>
          <w:sz w:val="13"/>
          <w:szCs w:val="13"/>
          <w:vertAlign w:val="subscript"/>
        </w:rPr>
        <w:t>j</w:t>
      </w:r>
      <w:r w:rsidRPr="009A363F">
        <w:rPr>
          <w:rFonts w:ascii="Tahoma" w:eastAsia="Times New Roman" w:hAnsi="Tahoma" w:cs="Tahoma"/>
          <w:color w:val="000000"/>
          <w:sz w:val="13"/>
          <w:szCs w:val="13"/>
        </w:rPr>
        <w:t> определяется по формуле: kj = Фj / Ф, где Ф</w:t>
      </w:r>
      <w:r w:rsidRPr="009A363F">
        <w:rPr>
          <w:rFonts w:ascii="Tahoma" w:eastAsia="Times New Roman" w:hAnsi="Tahoma" w:cs="Tahoma"/>
          <w:color w:val="000000"/>
          <w:sz w:val="13"/>
          <w:szCs w:val="13"/>
          <w:vertAlign w:val="subscript"/>
        </w:rPr>
        <w:t>j</w:t>
      </w:r>
      <w:r w:rsidRPr="009A363F">
        <w:rPr>
          <w:rFonts w:ascii="Tahoma" w:eastAsia="Times New Roman" w:hAnsi="Tahoma" w:cs="Tahoma"/>
          <w:color w:val="000000"/>
          <w:sz w:val="13"/>
          <w:szCs w:val="13"/>
        </w:rPr>
        <w:t> -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j - количество подпрограмм.</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1=0,5х1+0,5х(1х(57,1/57,1)+1х(57,1/57,1))</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Значение показателя составило 1, что признает эффективность реализации Муниципальной программы«Развитие  муниципальной  службы в Администрации Пристенского района Курской области на 2019-2021 годы», утвержденной постановлением Администрации Пристенского района Курской области от 29.09.2017г. №617-па  за 2020 годвысокой.</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Предложение: продолжить реализацию мероприятий муниципальной программы «Развитие  муниципальной  службы в Администрации Пристенского района Курской области на 2019-2021 годы» в 2021 году.</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Таблица №1</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Сведения о достижении показателей (индикаторов)</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муниципальной программы«Развитие  муниципальной службы в</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Администрации Пристенского района Курской области</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на 2019-2021 годы» за 2020 год</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8"/>
        <w:gridCol w:w="1812"/>
        <w:gridCol w:w="1140"/>
        <w:gridCol w:w="1572"/>
        <w:gridCol w:w="114"/>
        <w:gridCol w:w="1812"/>
        <w:gridCol w:w="4836"/>
      </w:tblGrid>
      <w:tr w:rsidR="009A363F" w:rsidRPr="009A363F" w:rsidTr="009A363F">
        <w:trPr>
          <w:tblCellSpacing w:w="0" w:type="dxa"/>
        </w:trPr>
        <w:tc>
          <w:tcPr>
            <w:tcW w:w="6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п/п</w:t>
            </w:r>
          </w:p>
        </w:tc>
        <w:tc>
          <w:tcPr>
            <w:tcW w:w="181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Показатель (индикатор)</w:t>
            </w:r>
          </w:p>
        </w:tc>
        <w:tc>
          <w:tcPr>
            <w:tcW w:w="1140"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Ед. изм.</w:t>
            </w:r>
          </w:p>
        </w:tc>
        <w:tc>
          <w:tcPr>
            <w:tcW w:w="3396" w:type="dxa"/>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Значения показателей (индикаторов) муниципальной программы</w:t>
            </w:r>
          </w:p>
        </w:tc>
        <w:tc>
          <w:tcPr>
            <w:tcW w:w="482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Пояснение</w:t>
            </w:r>
            <w:r w:rsidRPr="009A363F">
              <w:rPr>
                <w:rFonts w:eastAsia="Times New Roman"/>
                <w:sz w:val="13"/>
                <w:szCs w:val="13"/>
                <w:vertAlign w:val="superscript"/>
              </w:rPr>
              <w:t>*</w:t>
            </w:r>
          </w:p>
        </w:tc>
      </w:tr>
      <w:tr w:rsidR="009A363F" w:rsidRPr="009A363F" w:rsidTr="009A363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c>
          <w:tcPr>
            <w:tcW w:w="158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План</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Факт</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r>
      <w:tr w:rsidR="009A363F" w:rsidRPr="009A363F" w:rsidTr="009A363F">
        <w:trPr>
          <w:tblCellSpacing w:w="0" w:type="dxa"/>
        </w:trPr>
        <w:tc>
          <w:tcPr>
            <w:tcW w:w="11832" w:type="dxa"/>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Муниципальная программа</w:t>
            </w:r>
          </w:p>
        </w:tc>
      </w:tr>
      <w:tr w:rsidR="009A363F" w:rsidRPr="009A363F" w:rsidTr="009A363F">
        <w:trPr>
          <w:tblCellSpacing w:w="0" w:type="dxa"/>
        </w:trPr>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Количество муниципальных служащих, прошедших переподготовку и повышение квалификации,</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Чел.</w:t>
            </w:r>
          </w:p>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w:t>
            </w:r>
          </w:p>
        </w:tc>
        <w:tc>
          <w:tcPr>
            <w:tcW w:w="15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10</w:t>
            </w:r>
          </w:p>
        </w:tc>
        <w:tc>
          <w:tcPr>
            <w:tcW w:w="18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12</w:t>
            </w:r>
          </w:p>
        </w:tc>
        <w:tc>
          <w:tcPr>
            <w:tcW w:w="48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Дополнительно были обучены 2 муниципальных служащих</w:t>
            </w:r>
          </w:p>
        </w:tc>
      </w:tr>
      <w:tr w:rsidR="009A363F" w:rsidRPr="009A363F" w:rsidTr="009A363F">
        <w:trPr>
          <w:tblCellSpacing w:w="0" w:type="dxa"/>
        </w:trPr>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в том числе</w:t>
            </w:r>
          </w:p>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находящихся в резерве кадров</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Чел.</w:t>
            </w:r>
          </w:p>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w:t>
            </w:r>
          </w:p>
        </w:tc>
        <w:tc>
          <w:tcPr>
            <w:tcW w:w="15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w:t>
            </w:r>
          </w:p>
        </w:tc>
        <w:tc>
          <w:tcPr>
            <w:tcW w:w="18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w:t>
            </w:r>
          </w:p>
        </w:tc>
        <w:tc>
          <w:tcPr>
            <w:tcW w:w="48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w:t>
            </w:r>
          </w:p>
        </w:tc>
      </w:tr>
      <w:tr w:rsidR="009A363F" w:rsidRPr="009A363F" w:rsidTr="009A363F">
        <w:trPr>
          <w:tblCellSpacing w:w="0" w:type="dxa"/>
        </w:trPr>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2.</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Количество муниципальных служащих, принявших                          участие в  семинарах и совещаниях по</w:t>
            </w:r>
          </w:p>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вопросам муниципальной   службы</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человек</w:t>
            </w:r>
          </w:p>
        </w:tc>
        <w:tc>
          <w:tcPr>
            <w:tcW w:w="15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10</w:t>
            </w:r>
          </w:p>
        </w:tc>
        <w:tc>
          <w:tcPr>
            <w:tcW w:w="18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12</w:t>
            </w:r>
          </w:p>
        </w:tc>
        <w:tc>
          <w:tcPr>
            <w:tcW w:w="48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Дополнительно были обучены 2 муниципальных служащих</w:t>
            </w:r>
          </w:p>
        </w:tc>
      </w:tr>
      <w:tr w:rsidR="009A363F" w:rsidRPr="009A363F" w:rsidTr="009A363F">
        <w:trPr>
          <w:tblCellSpacing w:w="0" w:type="dxa"/>
        </w:trPr>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Количество мероприятий по противодействию коррупции      </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меропр.</w:t>
            </w:r>
          </w:p>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w:t>
            </w:r>
          </w:p>
        </w:tc>
        <w:tc>
          <w:tcPr>
            <w:tcW w:w="15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10</w:t>
            </w:r>
          </w:p>
        </w:tc>
        <w:tc>
          <w:tcPr>
            <w:tcW w:w="1824"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10</w:t>
            </w:r>
          </w:p>
        </w:tc>
        <w:tc>
          <w:tcPr>
            <w:tcW w:w="48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w:t>
            </w:r>
          </w:p>
        </w:tc>
      </w:tr>
      <w:tr w:rsidR="009A363F" w:rsidRPr="009A363F" w:rsidTr="009A363F">
        <w:trPr>
          <w:tblCellSpacing w:w="0" w:type="dxa"/>
        </w:trPr>
        <w:tc>
          <w:tcPr>
            <w:tcW w:w="5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rPr>
                <w:rFonts w:eastAsia="Times New Roman"/>
                <w:sz w:val="1"/>
              </w:rPr>
            </w:pPr>
          </w:p>
        </w:tc>
        <w:tc>
          <w:tcPr>
            <w:tcW w:w="17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rPr>
                <w:rFonts w:eastAsia="Times New Roman"/>
                <w:sz w:val="1"/>
              </w:rPr>
            </w:pPr>
          </w:p>
        </w:tc>
        <w:tc>
          <w:tcPr>
            <w:tcW w:w="98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rPr>
                <w:rFonts w:eastAsia="Times New Roman"/>
                <w:sz w:val="1"/>
              </w:rPr>
            </w:pPr>
          </w:p>
        </w:tc>
        <w:tc>
          <w:tcPr>
            <w:tcW w:w="11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rPr>
                <w:rFonts w:eastAsia="Times New Roman"/>
                <w:sz w:val="1"/>
              </w:rPr>
            </w:pPr>
          </w:p>
        </w:tc>
        <w:tc>
          <w:tcPr>
            <w:tcW w:w="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rPr>
                <w:rFonts w:eastAsia="Times New Roman"/>
                <w:sz w:val="1"/>
              </w:rPr>
            </w:pPr>
          </w:p>
        </w:tc>
        <w:tc>
          <w:tcPr>
            <w:tcW w:w="13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rPr>
                <w:rFonts w:eastAsia="Times New Roman"/>
                <w:sz w:val="1"/>
              </w:rPr>
            </w:pPr>
          </w:p>
        </w:tc>
        <w:tc>
          <w:tcPr>
            <w:tcW w:w="32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rPr>
                <w:rFonts w:eastAsia="Times New Roman"/>
                <w:sz w:val="1"/>
              </w:rPr>
            </w:pPr>
          </w:p>
        </w:tc>
      </w:tr>
    </w:tbl>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Сведения об исполнении муниципальной 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«Развитие  муниципальной службы в Администрации Пристенского района Курской области</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на 2019-2021 годы» в разрезе подпрограммы, основного мероприятия за 2020 год</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 </w:t>
      </w:r>
    </w:p>
    <w:tbl>
      <w:tblPr>
        <w:tblW w:w="9164" w:type="dxa"/>
        <w:tblCellSpacing w:w="0" w:type="dxa"/>
        <w:tblCellMar>
          <w:left w:w="0" w:type="dxa"/>
          <w:right w:w="0" w:type="dxa"/>
        </w:tblCellMar>
        <w:tblLook w:val="04A0"/>
      </w:tblPr>
      <w:tblGrid>
        <w:gridCol w:w="4144"/>
        <w:gridCol w:w="1112"/>
        <w:gridCol w:w="1305"/>
        <w:gridCol w:w="1434"/>
        <w:gridCol w:w="1169"/>
      </w:tblGrid>
      <w:tr w:rsidR="009A363F" w:rsidRPr="009A363F" w:rsidTr="009A363F">
        <w:trPr>
          <w:tblCellSpacing w:w="0" w:type="dxa"/>
        </w:trPr>
        <w:tc>
          <w:tcPr>
            <w:tcW w:w="47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Наименование</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ЦСР</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Сумма                 на 2020 год</w:t>
            </w:r>
          </w:p>
        </w:tc>
        <w:tc>
          <w:tcPr>
            <w:tcW w:w="1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Факт               на 2020 год</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Процент исполнения расходов,  %</w:t>
            </w:r>
          </w:p>
        </w:tc>
      </w:tr>
      <w:tr w:rsidR="009A363F" w:rsidRPr="009A363F" w:rsidTr="009A363F">
        <w:trPr>
          <w:tblCellSpacing w:w="0" w:type="dxa"/>
        </w:trPr>
        <w:tc>
          <w:tcPr>
            <w:tcW w:w="47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2</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w:t>
            </w:r>
          </w:p>
        </w:tc>
        <w:tc>
          <w:tcPr>
            <w:tcW w:w="1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4</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w:t>
            </w:r>
          </w:p>
        </w:tc>
      </w:tr>
      <w:tr w:rsidR="009A363F" w:rsidRPr="009A363F" w:rsidTr="009A363F">
        <w:trPr>
          <w:tblCellSpacing w:w="0" w:type="dxa"/>
        </w:trPr>
        <w:tc>
          <w:tcPr>
            <w:tcW w:w="47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Муниципальная программа «Развитие муниципальной службы в Администрации Пристенского района Курской области на 2019-2021 годы»</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09</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57,100</w:t>
            </w:r>
          </w:p>
        </w:tc>
        <w:tc>
          <w:tcPr>
            <w:tcW w:w="1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57,082</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100,0</w:t>
            </w:r>
          </w:p>
        </w:tc>
      </w:tr>
      <w:tr w:rsidR="009A363F" w:rsidRPr="009A363F" w:rsidTr="009A363F">
        <w:trPr>
          <w:tblCellSpacing w:w="0" w:type="dxa"/>
        </w:trPr>
        <w:tc>
          <w:tcPr>
            <w:tcW w:w="47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i/>
                <w:iCs/>
                <w:sz w:val="13"/>
              </w:rPr>
              <w:t> Подпрограмма «Реализация мероприятий, направленных на развитие муниципальной службы»</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i/>
                <w:iCs/>
                <w:sz w:val="13"/>
              </w:rPr>
              <w:t>09 1</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i/>
                <w:iCs/>
                <w:sz w:val="13"/>
              </w:rPr>
              <w:t>57,100</w:t>
            </w:r>
          </w:p>
        </w:tc>
        <w:tc>
          <w:tcPr>
            <w:tcW w:w="1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i/>
                <w:iCs/>
                <w:sz w:val="13"/>
              </w:rPr>
              <w:t>57,082</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100,0</w:t>
            </w:r>
          </w:p>
        </w:tc>
      </w:tr>
      <w:tr w:rsidR="009A363F" w:rsidRPr="009A363F" w:rsidTr="009A363F">
        <w:trPr>
          <w:tblCellSpacing w:w="0" w:type="dxa"/>
        </w:trPr>
        <w:tc>
          <w:tcPr>
            <w:tcW w:w="47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Основное мероприятие  «Организация обучения и переподготовки лиц замещающих выборные должности, должности муниципальной службы  на курсах повышения квалификации»</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09 1 01 00000</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57,100</w:t>
            </w:r>
          </w:p>
        </w:tc>
        <w:tc>
          <w:tcPr>
            <w:tcW w:w="1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57,082</w:t>
            </w:r>
          </w:p>
        </w:tc>
        <w:tc>
          <w:tcPr>
            <w:tcW w:w="123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b/>
                <w:bCs/>
                <w:sz w:val="13"/>
              </w:rPr>
              <w:t>100,0</w:t>
            </w:r>
          </w:p>
        </w:tc>
      </w:tr>
    </w:tbl>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Таблица №3</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Сведения об  использовании бюджетных ассигнований бюджета</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муниципального района «Пристенский район» в разрезе средств бюджетов различных уровней</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и разделов бюджетной классификации расходов на реализацию муниципальной программы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«Развитие  муниципальной службы в Администрации Пристенского района Курской области</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на 2019-2021 годы» за 2020 год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04"/>
        <w:gridCol w:w="1968"/>
        <w:gridCol w:w="1968"/>
        <w:gridCol w:w="1968"/>
        <w:gridCol w:w="1968"/>
        <w:gridCol w:w="1968"/>
      </w:tblGrid>
      <w:tr w:rsidR="009A363F" w:rsidRPr="009A363F" w:rsidTr="009A363F">
        <w:trPr>
          <w:tblCellSpacing w:w="0" w:type="dxa"/>
        </w:trPr>
        <w:tc>
          <w:tcPr>
            <w:tcW w:w="20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lastRenderedPageBreak/>
              <w:t>Источник финансирования</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Функциональная классификация расходов</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Предусмотрено законом (решением) о бюджете, тыс.руб.</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Предусмотрено муниципальной программой, тыс. руб.</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Кассовое исполнение (факт) за отчетный год, тыс. руб.</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Процент исполнения расходов, %</w:t>
            </w:r>
          </w:p>
        </w:tc>
      </w:tr>
      <w:tr w:rsidR="009A363F" w:rsidRPr="009A363F" w:rsidTr="009A363F">
        <w:trPr>
          <w:tblCellSpacing w:w="0" w:type="dxa"/>
        </w:trPr>
        <w:tc>
          <w:tcPr>
            <w:tcW w:w="20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Бюджет МО с учетом МБТ, в т.ч.:</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57,1</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57,1</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57,082</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100</w:t>
            </w:r>
          </w:p>
        </w:tc>
      </w:tr>
      <w:tr w:rsidR="009A363F" w:rsidRPr="009A363F" w:rsidTr="009A363F">
        <w:trPr>
          <w:tblCellSpacing w:w="0" w:type="dxa"/>
        </w:trPr>
        <w:tc>
          <w:tcPr>
            <w:tcW w:w="200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-средства местного бюджета</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0113</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57,1</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57,1</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57,082</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100</w:t>
            </w:r>
          </w:p>
        </w:tc>
      </w:tr>
    </w:tbl>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Таблица №4</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color w:val="000000"/>
          <w:sz w:val="13"/>
          <w:szCs w:val="13"/>
        </w:rPr>
        <w:t> </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Перечень мероприятий  муниципальной программы «Развитие  муниципальной службы</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в Администрации Пристенского района Курской области на 2019-2021 годы» за 2020 год</w:t>
      </w:r>
    </w:p>
    <w:p w:rsidR="009A363F" w:rsidRPr="009A363F" w:rsidRDefault="009A363F" w:rsidP="009A363F">
      <w:pPr>
        <w:widowControl/>
        <w:shd w:val="clear" w:color="auto" w:fill="EEEEEE"/>
        <w:autoSpaceDN/>
        <w:adjustRightInd/>
        <w:jc w:val="both"/>
        <w:rPr>
          <w:rFonts w:ascii="Tahoma" w:eastAsia="Times New Roman" w:hAnsi="Tahoma" w:cs="Tahoma"/>
          <w:color w:val="000000"/>
          <w:sz w:val="13"/>
          <w:szCs w:val="13"/>
        </w:rPr>
      </w:pPr>
      <w:r w:rsidRPr="009A363F">
        <w:rPr>
          <w:rFonts w:ascii="Tahoma" w:eastAsia="Times New Roman" w:hAnsi="Tahoma" w:cs="Tahoma"/>
          <w:b/>
          <w:bCs/>
          <w:color w:val="000000"/>
          <w:sz w:val="13"/>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648"/>
        <w:gridCol w:w="2724"/>
        <w:gridCol w:w="1812"/>
        <w:gridCol w:w="1356"/>
        <w:gridCol w:w="1344"/>
        <w:gridCol w:w="1968"/>
        <w:gridCol w:w="1980"/>
      </w:tblGrid>
      <w:tr w:rsidR="009A363F" w:rsidRPr="009A363F" w:rsidTr="009A363F">
        <w:trPr>
          <w:tblCellSpacing w:w="0" w:type="dxa"/>
        </w:trPr>
        <w:tc>
          <w:tcPr>
            <w:tcW w:w="64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 п/п</w:t>
            </w:r>
          </w:p>
        </w:tc>
        <w:tc>
          <w:tcPr>
            <w:tcW w:w="2724"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Номер и наименование основного мероприятия</w:t>
            </w:r>
          </w:p>
        </w:tc>
        <w:tc>
          <w:tcPr>
            <w:tcW w:w="1812"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Ответственный исполнитель</w:t>
            </w:r>
          </w:p>
        </w:tc>
        <w:tc>
          <w:tcPr>
            <w:tcW w:w="2700"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Срок</w:t>
            </w:r>
          </w:p>
        </w:tc>
        <w:tc>
          <w:tcPr>
            <w:tcW w:w="196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Ожидаемый непосредственный результат (краткое описание)</w:t>
            </w:r>
          </w:p>
        </w:tc>
        <w:tc>
          <w:tcPr>
            <w:tcW w:w="1968" w:type="dxa"/>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Основные направления реализации</w:t>
            </w:r>
          </w:p>
        </w:tc>
      </w:tr>
      <w:tr w:rsidR="009A363F" w:rsidRPr="009A363F" w:rsidTr="009A363F">
        <w:trP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Начала реализации</w:t>
            </w:r>
          </w:p>
        </w:tc>
        <w:tc>
          <w:tcPr>
            <w:tcW w:w="13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Окончания реализации</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9A363F" w:rsidRPr="009A363F" w:rsidRDefault="009A363F" w:rsidP="009A363F">
            <w:pPr>
              <w:widowControl/>
              <w:autoSpaceDN/>
              <w:adjustRightInd/>
              <w:rPr>
                <w:rFonts w:eastAsia="Times New Roman"/>
                <w:sz w:val="13"/>
                <w:szCs w:val="13"/>
              </w:rPr>
            </w:pPr>
          </w:p>
        </w:tc>
      </w:tr>
      <w:tr w:rsidR="009A363F" w:rsidRPr="009A363F" w:rsidTr="009A363F">
        <w:trPr>
          <w:tblCellSpacing w:w="0" w:type="dxa"/>
        </w:trPr>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w:t>
            </w:r>
          </w:p>
        </w:tc>
        <w:tc>
          <w:tcPr>
            <w:tcW w:w="27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2</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4</w:t>
            </w:r>
          </w:p>
        </w:tc>
        <w:tc>
          <w:tcPr>
            <w:tcW w:w="13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5</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6</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7</w:t>
            </w:r>
          </w:p>
        </w:tc>
      </w:tr>
      <w:tr w:rsidR="009A363F" w:rsidRPr="009A363F" w:rsidTr="009A363F">
        <w:trPr>
          <w:tblCellSpacing w:w="0" w:type="dxa"/>
        </w:trPr>
        <w:tc>
          <w:tcPr>
            <w:tcW w:w="11832" w:type="dxa"/>
            <w:gridSpan w:val="7"/>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Подпрограмма1</w:t>
            </w:r>
          </w:p>
        </w:tc>
      </w:tr>
      <w:tr w:rsidR="009A363F" w:rsidRPr="009A363F" w:rsidTr="009A363F">
        <w:trPr>
          <w:tblCellSpacing w:w="0" w:type="dxa"/>
        </w:trPr>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1</w:t>
            </w:r>
          </w:p>
        </w:tc>
        <w:tc>
          <w:tcPr>
            <w:tcW w:w="27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Основное мероприятие 1: Организация обучения и переподготовки лиц, замещающих выборные должности, должности муниципальной службы на курсах повышения квалификации</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Отдел организационной, кадровой работы и делопроизводства</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01.01.2021г.</w:t>
            </w:r>
          </w:p>
        </w:tc>
        <w:tc>
          <w:tcPr>
            <w:tcW w:w="13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31.12.2021г.</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Повышение  эффективности профессиональной служебной деятельности  муниципальных служащих,</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Мониторинг сроков повышения квалификации муниципальных служащих,  направление муниципальных служащих на курсы повышения квалификации</w:t>
            </w:r>
          </w:p>
        </w:tc>
      </w:tr>
      <w:tr w:rsidR="009A363F" w:rsidRPr="009A363F" w:rsidTr="009A363F">
        <w:trPr>
          <w:tblCellSpacing w:w="0" w:type="dxa"/>
        </w:trPr>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2</w:t>
            </w:r>
          </w:p>
        </w:tc>
        <w:tc>
          <w:tcPr>
            <w:tcW w:w="27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Основное мероприятие 2: Организация и проведения семинаров для муниципальных служащих по вопросам муниципальной службы, обобщение опыта по реализации законодательства о муниципальной службе</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Отдел организационной, кадровой работы и делопроизводства</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01.01.2021г.</w:t>
            </w:r>
          </w:p>
        </w:tc>
        <w:tc>
          <w:tcPr>
            <w:tcW w:w="13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31.12.2021г.</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Развитие нормативной правовой базы, регулирующей вопросы муниципальной службы</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Проведение ВКС, «круглых столов» по обсуждению различных вопросов муниципальной службы</w:t>
            </w:r>
          </w:p>
        </w:tc>
      </w:tr>
      <w:tr w:rsidR="009A363F" w:rsidRPr="009A363F" w:rsidTr="009A363F">
        <w:trPr>
          <w:tblCellSpacing w:w="0" w:type="dxa"/>
        </w:trPr>
        <w:tc>
          <w:tcPr>
            <w:tcW w:w="6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w:t>
            </w:r>
          </w:p>
        </w:tc>
        <w:tc>
          <w:tcPr>
            <w:tcW w:w="272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Основное мероприятие 3: Проведение мероприятий антикоррупционной направленности</w:t>
            </w:r>
          </w:p>
        </w:tc>
        <w:tc>
          <w:tcPr>
            <w:tcW w:w="18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Отдел организационной, кадровой работы и делопроизводства</w:t>
            </w:r>
          </w:p>
        </w:tc>
        <w:tc>
          <w:tcPr>
            <w:tcW w:w="13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01.01.2021г.</w:t>
            </w:r>
          </w:p>
        </w:tc>
        <w:tc>
          <w:tcPr>
            <w:tcW w:w="13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31.12.2021г.</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Предотвращение коррупционных правонарушений</w:t>
            </w:r>
          </w:p>
        </w:tc>
        <w:tc>
          <w:tcPr>
            <w:tcW w:w="196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9A363F" w:rsidRPr="009A363F" w:rsidRDefault="009A363F" w:rsidP="009A363F">
            <w:pPr>
              <w:widowControl/>
              <w:autoSpaceDN/>
              <w:adjustRightInd/>
              <w:jc w:val="both"/>
              <w:rPr>
                <w:rFonts w:eastAsia="Times New Roman"/>
                <w:sz w:val="13"/>
                <w:szCs w:val="13"/>
              </w:rPr>
            </w:pPr>
            <w:r w:rsidRPr="009A363F">
              <w:rPr>
                <w:rFonts w:eastAsia="Times New Roman"/>
                <w:sz w:val="13"/>
                <w:szCs w:val="13"/>
              </w:rPr>
              <w:t>Участие в семинарах по антикоррупционным вопросам</w:t>
            </w:r>
          </w:p>
        </w:tc>
      </w:tr>
    </w:tbl>
    <w:p w:rsidR="00560C54" w:rsidRPr="009A363F" w:rsidRDefault="00560C54" w:rsidP="009A363F"/>
    <w:sectPr w:rsidR="00560C54" w:rsidRPr="009A363F" w:rsidSect="002D7D7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23A"/>
    <w:multiLevelType w:val="multilevel"/>
    <w:tmpl w:val="B906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B30DA"/>
    <w:multiLevelType w:val="multilevel"/>
    <w:tmpl w:val="A6C2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EB2488"/>
    <w:multiLevelType w:val="multilevel"/>
    <w:tmpl w:val="5682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2858AD"/>
    <w:multiLevelType w:val="multilevel"/>
    <w:tmpl w:val="80B8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F07006"/>
    <w:multiLevelType w:val="multilevel"/>
    <w:tmpl w:val="DED8A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43528"/>
    <w:multiLevelType w:val="multilevel"/>
    <w:tmpl w:val="F3222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AB680C"/>
    <w:multiLevelType w:val="multilevel"/>
    <w:tmpl w:val="C4CA0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E9401F"/>
    <w:multiLevelType w:val="multilevel"/>
    <w:tmpl w:val="2CD6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7675A6"/>
    <w:multiLevelType w:val="multilevel"/>
    <w:tmpl w:val="6F92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A0192B"/>
    <w:multiLevelType w:val="multilevel"/>
    <w:tmpl w:val="534E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D775A7"/>
    <w:multiLevelType w:val="multilevel"/>
    <w:tmpl w:val="CC3A7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DD0807"/>
    <w:multiLevelType w:val="multilevel"/>
    <w:tmpl w:val="5D40E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A685D2D"/>
    <w:multiLevelType w:val="multilevel"/>
    <w:tmpl w:val="7E70F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21DD3"/>
    <w:multiLevelType w:val="multilevel"/>
    <w:tmpl w:val="ECF2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C04EB"/>
    <w:multiLevelType w:val="multilevel"/>
    <w:tmpl w:val="C032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DAF34E0"/>
    <w:multiLevelType w:val="multilevel"/>
    <w:tmpl w:val="798E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36B18"/>
    <w:multiLevelType w:val="multilevel"/>
    <w:tmpl w:val="756C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D3676A"/>
    <w:multiLevelType w:val="multilevel"/>
    <w:tmpl w:val="48C2B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9CE6BF3"/>
    <w:multiLevelType w:val="multilevel"/>
    <w:tmpl w:val="2442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3475963"/>
    <w:multiLevelType w:val="multilevel"/>
    <w:tmpl w:val="05863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4252DA5"/>
    <w:multiLevelType w:val="multilevel"/>
    <w:tmpl w:val="78C0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E40CE9"/>
    <w:multiLevelType w:val="multilevel"/>
    <w:tmpl w:val="00760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621B01"/>
    <w:multiLevelType w:val="multilevel"/>
    <w:tmpl w:val="7D8C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3400EA"/>
    <w:multiLevelType w:val="multilevel"/>
    <w:tmpl w:val="7886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16574A"/>
    <w:multiLevelType w:val="multilevel"/>
    <w:tmpl w:val="119E5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5F45FAF"/>
    <w:multiLevelType w:val="multilevel"/>
    <w:tmpl w:val="FFCE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8"/>
  </w:num>
  <w:num w:numId="3">
    <w:abstractNumId w:val="20"/>
  </w:num>
  <w:num w:numId="4">
    <w:abstractNumId w:val="3"/>
  </w:num>
  <w:num w:numId="5">
    <w:abstractNumId w:val="9"/>
  </w:num>
  <w:num w:numId="6">
    <w:abstractNumId w:val="8"/>
  </w:num>
  <w:num w:numId="7">
    <w:abstractNumId w:val="25"/>
  </w:num>
  <w:num w:numId="8">
    <w:abstractNumId w:val="15"/>
  </w:num>
  <w:num w:numId="9">
    <w:abstractNumId w:val="0"/>
  </w:num>
  <w:num w:numId="10">
    <w:abstractNumId w:val="14"/>
  </w:num>
  <w:num w:numId="11">
    <w:abstractNumId w:val="17"/>
  </w:num>
  <w:num w:numId="12">
    <w:abstractNumId w:val="16"/>
  </w:num>
  <w:num w:numId="13">
    <w:abstractNumId w:val="6"/>
  </w:num>
  <w:num w:numId="14">
    <w:abstractNumId w:val="21"/>
  </w:num>
  <w:num w:numId="15">
    <w:abstractNumId w:val="23"/>
  </w:num>
  <w:num w:numId="16">
    <w:abstractNumId w:val="19"/>
  </w:num>
  <w:num w:numId="17">
    <w:abstractNumId w:val="12"/>
  </w:num>
  <w:num w:numId="18">
    <w:abstractNumId w:val="7"/>
  </w:num>
  <w:num w:numId="19">
    <w:abstractNumId w:val="5"/>
  </w:num>
  <w:num w:numId="20">
    <w:abstractNumId w:val="10"/>
  </w:num>
  <w:num w:numId="21">
    <w:abstractNumId w:val="24"/>
  </w:num>
  <w:num w:numId="22">
    <w:abstractNumId w:val="22"/>
  </w:num>
  <w:num w:numId="23">
    <w:abstractNumId w:val="1"/>
  </w:num>
  <w:num w:numId="24">
    <w:abstractNumId w:val="4"/>
  </w:num>
  <w:num w:numId="25">
    <w:abstractNumId w:val="2"/>
  </w:num>
  <w:num w:numId="2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compat/>
  <w:rsids>
    <w:rsidRoot w:val="00135A29"/>
    <w:rsid w:val="00056DAD"/>
    <w:rsid w:val="00081C89"/>
    <w:rsid w:val="00082DE4"/>
    <w:rsid w:val="000E1C13"/>
    <w:rsid w:val="000F13B9"/>
    <w:rsid w:val="00120E3E"/>
    <w:rsid w:val="001229E1"/>
    <w:rsid w:val="00130EEA"/>
    <w:rsid w:val="00135A29"/>
    <w:rsid w:val="00145550"/>
    <w:rsid w:val="00226289"/>
    <w:rsid w:val="002D7D74"/>
    <w:rsid w:val="00331A81"/>
    <w:rsid w:val="00344EE3"/>
    <w:rsid w:val="00406A85"/>
    <w:rsid w:val="0043007D"/>
    <w:rsid w:val="00435B9F"/>
    <w:rsid w:val="00451B7F"/>
    <w:rsid w:val="004D1F02"/>
    <w:rsid w:val="004D73A8"/>
    <w:rsid w:val="004E56B1"/>
    <w:rsid w:val="00560C54"/>
    <w:rsid w:val="005D772F"/>
    <w:rsid w:val="005E772B"/>
    <w:rsid w:val="00620345"/>
    <w:rsid w:val="006A3BBE"/>
    <w:rsid w:val="006A48AE"/>
    <w:rsid w:val="006F353F"/>
    <w:rsid w:val="0074216B"/>
    <w:rsid w:val="00752051"/>
    <w:rsid w:val="007C2201"/>
    <w:rsid w:val="007E2FB6"/>
    <w:rsid w:val="007F4DAA"/>
    <w:rsid w:val="00860F45"/>
    <w:rsid w:val="00886B54"/>
    <w:rsid w:val="00993BC5"/>
    <w:rsid w:val="009A363F"/>
    <w:rsid w:val="009B2A07"/>
    <w:rsid w:val="00A36F17"/>
    <w:rsid w:val="00AE2AA4"/>
    <w:rsid w:val="00AE4688"/>
    <w:rsid w:val="00AE6AAF"/>
    <w:rsid w:val="00C71C62"/>
    <w:rsid w:val="00CE4463"/>
    <w:rsid w:val="00CF6855"/>
    <w:rsid w:val="00DF57C2"/>
    <w:rsid w:val="00DF6C70"/>
    <w:rsid w:val="00E10C97"/>
    <w:rsid w:val="00F11C7C"/>
    <w:rsid w:val="00F12114"/>
    <w:rsid w:val="00F976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29"/>
    <w:pPr>
      <w:widowControl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DF57C2"/>
    <w:pPr>
      <w:widowControl/>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AE6AA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0F13B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688"/>
    <w:pPr>
      <w:widowControl/>
      <w:autoSpaceDN/>
      <w:adjustRightInd/>
      <w:spacing w:before="100" w:beforeAutospacing="1" w:after="100" w:afterAutospacing="1"/>
    </w:pPr>
    <w:rPr>
      <w:rFonts w:eastAsia="Times New Roman"/>
    </w:rPr>
  </w:style>
  <w:style w:type="character" w:styleId="a4">
    <w:name w:val="Strong"/>
    <w:basedOn w:val="a0"/>
    <w:uiPriority w:val="22"/>
    <w:qFormat/>
    <w:rsid w:val="00AE4688"/>
    <w:rPr>
      <w:b/>
      <w:bCs/>
    </w:rPr>
  </w:style>
  <w:style w:type="character" w:customStyle="1" w:styleId="20">
    <w:name w:val="Заголовок 2 Знак"/>
    <w:basedOn w:val="a0"/>
    <w:link w:val="2"/>
    <w:uiPriority w:val="9"/>
    <w:rsid w:val="00DF57C2"/>
    <w:rPr>
      <w:rFonts w:ascii="Times New Roman" w:eastAsia="Times New Roman" w:hAnsi="Times New Roman" w:cs="Times New Roman"/>
      <w:b/>
      <w:bCs/>
      <w:sz w:val="36"/>
      <w:szCs w:val="36"/>
      <w:lang w:eastAsia="ru-RU"/>
    </w:rPr>
  </w:style>
  <w:style w:type="character" w:styleId="a5">
    <w:name w:val="Emphasis"/>
    <w:basedOn w:val="a0"/>
    <w:uiPriority w:val="20"/>
    <w:qFormat/>
    <w:rsid w:val="00DF57C2"/>
    <w:rPr>
      <w:i/>
      <w:iCs/>
    </w:rPr>
  </w:style>
  <w:style w:type="character" w:styleId="a6">
    <w:name w:val="Hyperlink"/>
    <w:basedOn w:val="a0"/>
    <w:uiPriority w:val="99"/>
    <w:semiHidden/>
    <w:unhideWhenUsed/>
    <w:rsid w:val="005D772F"/>
    <w:rPr>
      <w:color w:val="0000FF"/>
      <w:u w:val="single"/>
    </w:rPr>
  </w:style>
  <w:style w:type="character" w:customStyle="1" w:styleId="30">
    <w:name w:val="Заголовок 3 Знак"/>
    <w:basedOn w:val="a0"/>
    <w:link w:val="3"/>
    <w:uiPriority w:val="9"/>
    <w:semiHidden/>
    <w:rsid w:val="00AE6AAF"/>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0F13B9"/>
    <w:rPr>
      <w:rFonts w:asciiTheme="majorHAnsi" w:eastAsiaTheme="majorEastAsia" w:hAnsiTheme="majorHAnsi" w:cstheme="majorBidi"/>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4798149">
      <w:bodyDiv w:val="1"/>
      <w:marLeft w:val="0"/>
      <w:marRight w:val="0"/>
      <w:marTop w:val="0"/>
      <w:marBottom w:val="0"/>
      <w:divBdr>
        <w:top w:val="none" w:sz="0" w:space="0" w:color="auto"/>
        <w:left w:val="none" w:sz="0" w:space="0" w:color="auto"/>
        <w:bottom w:val="none" w:sz="0" w:space="0" w:color="auto"/>
        <w:right w:val="none" w:sz="0" w:space="0" w:color="auto"/>
      </w:divBdr>
    </w:div>
    <w:div w:id="43679195">
      <w:bodyDiv w:val="1"/>
      <w:marLeft w:val="0"/>
      <w:marRight w:val="0"/>
      <w:marTop w:val="0"/>
      <w:marBottom w:val="0"/>
      <w:divBdr>
        <w:top w:val="none" w:sz="0" w:space="0" w:color="auto"/>
        <w:left w:val="none" w:sz="0" w:space="0" w:color="auto"/>
        <w:bottom w:val="none" w:sz="0" w:space="0" w:color="auto"/>
        <w:right w:val="none" w:sz="0" w:space="0" w:color="auto"/>
      </w:divBdr>
    </w:div>
    <w:div w:id="121314534">
      <w:bodyDiv w:val="1"/>
      <w:marLeft w:val="0"/>
      <w:marRight w:val="0"/>
      <w:marTop w:val="0"/>
      <w:marBottom w:val="0"/>
      <w:divBdr>
        <w:top w:val="none" w:sz="0" w:space="0" w:color="auto"/>
        <w:left w:val="none" w:sz="0" w:space="0" w:color="auto"/>
        <w:bottom w:val="none" w:sz="0" w:space="0" w:color="auto"/>
        <w:right w:val="none" w:sz="0" w:space="0" w:color="auto"/>
      </w:divBdr>
    </w:div>
    <w:div w:id="355428345">
      <w:bodyDiv w:val="1"/>
      <w:marLeft w:val="0"/>
      <w:marRight w:val="0"/>
      <w:marTop w:val="0"/>
      <w:marBottom w:val="0"/>
      <w:divBdr>
        <w:top w:val="none" w:sz="0" w:space="0" w:color="auto"/>
        <w:left w:val="none" w:sz="0" w:space="0" w:color="auto"/>
        <w:bottom w:val="none" w:sz="0" w:space="0" w:color="auto"/>
        <w:right w:val="none" w:sz="0" w:space="0" w:color="auto"/>
      </w:divBdr>
    </w:div>
    <w:div w:id="380130720">
      <w:bodyDiv w:val="1"/>
      <w:marLeft w:val="0"/>
      <w:marRight w:val="0"/>
      <w:marTop w:val="0"/>
      <w:marBottom w:val="0"/>
      <w:divBdr>
        <w:top w:val="none" w:sz="0" w:space="0" w:color="auto"/>
        <w:left w:val="none" w:sz="0" w:space="0" w:color="auto"/>
        <w:bottom w:val="none" w:sz="0" w:space="0" w:color="auto"/>
        <w:right w:val="none" w:sz="0" w:space="0" w:color="auto"/>
      </w:divBdr>
      <w:divsChild>
        <w:div w:id="1121343651">
          <w:marLeft w:val="0"/>
          <w:marRight w:val="0"/>
          <w:marTop w:val="0"/>
          <w:marBottom w:val="164"/>
          <w:divBdr>
            <w:top w:val="none" w:sz="0" w:space="0" w:color="auto"/>
            <w:left w:val="none" w:sz="0" w:space="0" w:color="auto"/>
            <w:bottom w:val="none" w:sz="0" w:space="0" w:color="auto"/>
            <w:right w:val="none" w:sz="0" w:space="0" w:color="auto"/>
          </w:divBdr>
        </w:div>
      </w:divsChild>
    </w:div>
    <w:div w:id="452092405">
      <w:bodyDiv w:val="1"/>
      <w:marLeft w:val="0"/>
      <w:marRight w:val="0"/>
      <w:marTop w:val="0"/>
      <w:marBottom w:val="0"/>
      <w:divBdr>
        <w:top w:val="none" w:sz="0" w:space="0" w:color="auto"/>
        <w:left w:val="none" w:sz="0" w:space="0" w:color="auto"/>
        <w:bottom w:val="none" w:sz="0" w:space="0" w:color="auto"/>
        <w:right w:val="none" w:sz="0" w:space="0" w:color="auto"/>
      </w:divBdr>
      <w:divsChild>
        <w:div w:id="496724356">
          <w:marLeft w:val="0"/>
          <w:marRight w:val="0"/>
          <w:marTop w:val="0"/>
          <w:marBottom w:val="164"/>
          <w:divBdr>
            <w:top w:val="none" w:sz="0" w:space="0" w:color="auto"/>
            <w:left w:val="none" w:sz="0" w:space="0" w:color="auto"/>
            <w:bottom w:val="none" w:sz="0" w:space="0" w:color="auto"/>
            <w:right w:val="none" w:sz="0" w:space="0" w:color="auto"/>
          </w:divBdr>
        </w:div>
      </w:divsChild>
    </w:div>
    <w:div w:id="514423035">
      <w:bodyDiv w:val="1"/>
      <w:marLeft w:val="0"/>
      <w:marRight w:val="0"/>
      <w:marTop w:val="0"/>
      <w:marBottom w:val="0"/>
      <w:divBdr>
        <w:top w:val="none" w:sz="0" w:space="0" w:color="auto"/>
        <w:left w:val="none" w:sz="0" w:space="0" w:color="auto"/>
        <w:bottom w:val="none" w:sz="0" w:space="0" w:color="auto"/>
        <w:right w:val="none" w:sz="0" w:space="0" w:color="auto"/>
      </w:divBdr>
    </w:div>
    <w:div w:id="835538518">
      <w:bodyDiv w:val="1"/>
      <w:marLeft w:val="0"/>
      <w:marRight w:val="0"/>
      <w:marTop w:val="0"/>
      <w:marBottom w:val="0"/>
      <w:divBdr>
        <w:top w:val="none" w:sz="0" w:space="0" w:color="auto"/>
        <w:left w:val="none" w:sz="0" w:space="0" w:color="auto"/>
        <w:bottom w:val="none" w:sz="0" w:space="0" w:color="auto"/>
        <w:right w:val="none" w:sz="0" w:space="0" w:color="auto"/>
      </w:divBdr>
      <w:divsChild>
        <w:div w:id="397242534">
          <w:marLeft w:val="0"/>
          <w:marRight w:val="0"/>
          <w:marTop w:val="0"/>
          <w:marBottom w:val="164"/>
          <w:divBdr>
            <w:top w:val="none" w:sz="0" w:space="0" w:color="auto"/>
            <w:left w:val="none" w:sz="0" w:space="0" w:color="auto"/>
            <w:bottom w:val="none" w:sz="0" w:space="0" w:color="auto"/>
            <w:right w:val="none" w:sz="0" w:space="0" w:color="auto"/>
          </w:divBdr>
        </w:div>
      </w:divsChild>
    </w:div>
    <w:div w:id="974289990">
      <w:bodyDiv w:val="1"/>
      <w:marLeft w:val="0"/>
      <w:marRight w:val="0"/>
      <w:marTop w:val="0"/>
      <w:marBottom w:val="0"/>
      <w:divBdr>
        <w:top w:val="none" w:sz="0" w:space="0" w:color="auto"/>
        <w:left w:val="none" w:sz="0" w:space="0" w:color="auto"/>
        <w:bottom w:val="none" w:sz="0" w:space="0" w:color="auto"/>
        <w:right w:val="none" w:sz="0" w:space="0" w:color="auto"/>
      </w:divBdr>
    </w:div>
    <w:div w:id="1061826242">
      <w:bodyDiv w:val="1"/>
      <w:marLeft w:val="0"/>
      <w:marRight w:val="0"/>
      <w:marTop w:val="0"/>
      <w:marBottom w:val="0"/>
      <w:divBdr>
        <w:top w:val="none" w:sz="0" w:space="0" w:color="auto"/>
        <w:left w:val="none" w:sz="0" w:space="0" w:color="auto"/>
        <w:bottom w:val="none" w:sz="0" w:space="0" w:color="auto"/>
        <w:right w:val="none" w:sz="0" w:space="0" w:color="auto"/>
      </w:divBdr>
    </w:div>
    <w:div w:id="1127697220">
      <w:bodyDiv w:val="1"/>
      <w:marLeft w:val="0"/>
      <w:marRight w:val="0"/>
      <w:marTop w:val="0"/>
      <w:marBottom w:val="0"/>
      <w:divBdr>
        <w:top w:val="none" w:sz="0" w:space="0" w:color="auto"/>
        <w:left w:val="none" w:sz="0" w:space="0" w:color="auto"/>
        <w:bottom w:val="none" w:sz="0" w:space="0" w:color="auto"/>
        <w:right w:val="none" w:sz="0" w:space="0" w:color="auto"/>
      </w:divBdr>
    </w:div>
    <w:div w:id="1166433972">
      <w:bodyDiv w:val="1"/>
      <w:marLeft w:val="0"/>
      <w:marRight w:val="0"/>
      <w:marTop w:val="0"/>
      <w:marBottom w:val="0"/>
      <w:divBdr>
        <w:top w:val="none" w:sz="0" w:space="0" w:color="auto"/>
        <w:left w:val="none" w:sz="0" w:space="0" w:color="auto"/>
        <w:bottom w:val="none" w:sz="0" w:space="0" w:color="auto"/>
        <w:right w:val="none" w:sz="0" w:space="0" w:color="auto"/>
      </w:divBdr>
    </w:div>
    <w:div w:id="1210996166">
      <w:bodyDiv w:val="1"/>
      <w:marLeft w:val="0"/>
      <w:marRight w:val="0"/>
      <w:marTop w:val="0"/>
      <w:marBottom w:val="0"/>
      <w:divBdr>
        <w:top w:val="none" w:sz="0" w:space="0" w:color="auto"/>
        <w:left w:val="none" w:sz="0" w:space="0" w:color="auto"/>
        <w:bottom w:val="none" w:sz="0" w:space="0" w:color="auto"/>
        <w:right w:val="none" w:sz="0" w:space="0" w:color="auto"/>
      </w:divBdr>
    </w:div>
    <w:div w:id="1211500604">
      <w:bodyDiv w:val="1"/>
      <w:marLeft w:val="0"/>
      <w:marRight w:val="0"/>
      <w:marTop w:val="0"/>
      <w:marBottom w:val="0"/>
      <w:divBdr>
        <w:top w:val="none" w:sz="0" w:space="0" w:color="auto"/>
        <w:left w:val="none" w:sz="0" w:space="0" w:color="auto"/>
        <w:bottom w:val="none" w:sz="0" w:space="0" w:color="auto"/>
        <w:right w:val="none" w:sz="0" w:space="0" w:color="auto"/>
      </w:divBdr>
    </w:div>
    <w:div w:id="1337538344">
      <w:bodyDiv w:val="1"/>
      <w:marLeft w:val="0"/>
      <w:marRight w:val="0"/>
      <w:marTop w:val="0"/>
      <w:marBottom w:val="0"/>
      <w:divBdr>
        <w:top w:val="none" w:sz="0" w:space="0" w:color="auto"/>
        <w:left w:val="none" w:sz="0" w:space="0" w:color="auto"/>
        <w:bottom w:val="none" w:sz="0" w:space="0" w:color="auto"/>
        <w:right w:val="none" w:sz="0" w:space="0" w:color="auto"/>
      </w:divBdr>
    </w:div>
    <w:div w:id="1511262169">
      <w:bodyDiv w:val="1"/>
      <w:marLeft w:val="0"/>
      <w:marRight w:val="0"/>
      <w:marTop w:val="0"/>
      <w:marBottom w:val="0"/>
      <w:divBdr>
        <w:top w:val="none" w:sz="0" w:space="0" w:color="auto"/>
        <w:left w:val="none" w:sz="0" w:space="0" w:color="auto"/>
        <w:bottom w:val="none" w:sz="0" w:space="0" w:color="auto"/>
        <w:right w:val="none" w:sz="0" w:space="0" w:color="auto"/>
      </w:divBdr>
    </w:div>
    <w:div w:id="1593274760">
      <w:bodyDiv w:val="1"/>
      <w:marLeft w:val="0"/>
      <w:marRight w:val="0"/>
      <w:marTop w:val="0"/>
      <w:marBottom w:val="0"/>
      <w:divBdr>
        <w:top w:val="none" w:sz="0" w:space="0" w:color="auto"/>
        <w:left w:val="none" w:sz="0" w:space="0" w:color="auto"/>
        <w:bottom w:val="none" w:sz="0" w:space="0" w:color="auto"/>
        <w:right w:val="none" w:sz="0" w:space="0" w:color="auto"/>
      </w:divBdr>
    </w:div>
    <w:div w:id="1783525570">
      <w:bodyDiv w:val="1"/>
      <w:marLeft w:val="0"/>
      <w:marRight w:val="0"/>
      <w:marTop w:val="0"/>
      <w:marBottom w:val="0"/>
      <w:divBdr>
        <w:top w:val="none" w:sz="0" w:space="0" w:color="auto"/>
        <w:left w:val="none" w:sz="0" w:space="0" w:color="auto"/>
        <w:bottom w:val="none" w:sz="0" w:space="0" w:color="auto"/>
        <w:right w:val="none" w:sz="0" w:space="0" w:color="auto"/>
      </w:divBdr>
    </w:div>
    <w:div w:id="1867979861">
      <w:bodyDiv w:val="1"/>
      <w:marLeft w:val="0"/>
      <w:marRight w:val="0"/>
      <w:marTop w:val="0"/>
      <w:marBottom w:val="0"/>
      <w:divBdr>
        <w:top w:val="none" w:sz="0" w:space="0" w:color="auto"/>
        <w:left w:val="none" w:sz="0" w:space="0" w:color="auto"/>
        <w:bottom w:val="none" w:sz="0" w:space="0" w:color="auto"/>
        <w:right w:val="none" w:sz="0" w:space="0" w:color="auto"/>
      </w:divBdr>
    </w:div>
    <w:div w:id="1880122229">
      <w:bodyDiv w:val="1"/>
      <w:marLeft w:val="0"/>
      <w:marRight w:val="0"/>
      <w:marTop w:val="0"/>
      <w:marBottom w:val="0"/>
      <w:divBdr>
        <w:top w:val="none" w:sz="0" w:space="0" w:color="auto"/>
        <w:left w:val="none" w:sz="0" w:space="0" w:color="auto"/>
        <w:bottom w:val="none" w:sz="0" w:space="0" w:color="auto"/>
        <w:right w:val="none" w:sz="0" w:space="0" w:color="auto"/>
      </w:divBdr>
    </w:div>
    <w:div w:id="1934703291">
      <w:bodyDiv w:val="1"/>
      <w:marLeft w:val="0"/>
      <w:marRight w:val="0"/>
      <w:marTop w:val="0"/>
      <w:marBottom w:val="0"/>
      <w:divBdr>
        <w:top w:val="none" w:sz="0" w:space="0" w:color="auto"/>
        <w:left w:val="none" w:sz="0" w:space="0" w:color="auto"/>
        <w:bottom w:val="none" w:sz="0" w:space="0" w:color="auto"/>
        <w:right w:val="none" w:sz="0" w:space="0" w:color="auto"/>
      </w:divBdr>
    </w:div>
    <w:div w:id="1957521013">
      <w:bodyDiv w:val="1"/>
      <w:marLeft w:val="0"/>
      <w:marRight w:val="0"/>
      <w:marTop w:val="0"/>
      <w:marBottom w:val="0"/>
      <w:divBdr>
        <w:top w:val="none" w:sz="0" w:space="0" w:color="auto"/>
        <w:left w:val="none" w:sz="0" w:space="0" w:color="auto"/>
        <w:bottom w:val="none" w:sz="0" w:space="0" w:color="auto"/>
        <w:right w:val="none" w:sz="0" w:space="0" w:color="auto"/>
      </w:divBdr>
    </w:div>
    <w:div w:id="2075925480">
      <w:bodyDiv w:val="1"/>
      <w:marLeft w:val="0"/>
      <w:marRight w:val="0"/>
      <w:marTop w:val="0"/>
      <w:marBottom w:val="0"/>
      <w:divBdr>
        <w:top w:val="none" w:sz="0" w:space="0" w:color="auto"/>
        <w:left w:val="none" w:sz="0" w:space="0" w:color="auto"/>
        <w:bottom w:val="none" w:sz="0" w:space="0" w:color="auto"/>
        <w:right w:val="none" w:sz="0" w:space="0" w:color="auto"/>
      </w:divBdr>
    </w:div>
    <w:div w:id="2110662048">
      <w:bodyDiv w:val="1"/>
      <w:marLeft w:val="0"/>
      <w:marRight w:val="0"/>
      <w:marTop w:val="0"/>
      <w:marBottom w:val="0"/>
      <w:divBdr>
        <w:top w:val="none" w:sz="0" w:space="0" w:color="auto"/>
        <w:left w:val="none" w:sz="0" w:space="0" w:color="auto"/>
        <w:bottom w:val="none" w:sz="0" w:space="0" w:color="auto"/>
        <w:right w:val="none" w:sz="0" w:space="0" w:color="auto"/>
      </w:divBdr>
      <w:divsChild>
        <w:div w:id="1355959555">
          <w:marLeft w:val="0"/>
          <w:marRight w:val="0"/>
          <w:marTop w:val="0"/>
          <w:marBottom w:val="164"/>
          <w:divBdr>
            <w:top w:val="none" w:sz="0" w:space="0" w:color="auto"/>
            <w:left w:val="none" w:sz="0" w:space="0" w:color="auto"/>
            <w:bottom w:val="none" w:sz="0" w:space="0" w:color="auto"/>
            <w:right w:val="none" w:sz="0" w:space="0" w:color="auto"/>
          </w:divBdr>
        </w:div>
      </w:divsChild>
    </w:div>
    <w:div w:id="21423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2386</Words>
  <Characters>13604</Characters>
  <Application>Microsoft Office Word</Application>
  <DocSecurity>0</DocSecurity>
  <Lines>113</Lines>
  <Paragraphs>31</Paragraphs>
  <ScaleCrop>false</ScaleCrop>
  <Company>SPecialiST RePack</Company>
  <LinksUpToDate>false</LinksUpToDate>
  <CharactersWithSpaces>15959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dcterms:created xsi:type="dcterms:W3CDTF">2023-10-30T05:37:00Z</dcterms:created>
  <dcterms:modified xsi:type="dcterms:W3CDTF">2023-10-30T09:08:00Z</dcterms:modified>
</cp:coreProperties>
</file>