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b/>
          <w:bCs/>
          <w:color w:val="000000"/>
          <w:sz w:val="13"/>
          <w:szCs w:val="13"/>
        </w:rPr>
        <w:br/>
      </w:r>
      <w:r>
        <w:rPr>
          <w:rStyle w:val="a4"/>
          <w:rFonts w:ascii="Tahoma" w:hAnsi="Tahoma" w:cs="Tahoma"/>
          <w:color w:val="000000"/>
          <w:sz w:val="13"/>
          <w:szCs w:val="13"/>
        </w:rPr>
        <w:t>ГОДОВОЙ ОТЧЕТ</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ходе реализации и оценке эффективности муниципальной программы  «Профилактика правонарушений в Пристенском районе Курской области 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2020 - 2022 годы» </w:t>
      </w:r>
      <w:r>
        <w:rPr>
          <w:rStyle w:val="a4"/>
          <w:rFonts w:ascii="Tahoma" w:hAnsi="Tahoma" w:cs="Tahoma"/>
          <w:color w:val="000000"/>
          <w:sz w:val="13"/>
          <w:szCs w:val="13"/>
        </w:rPr>
        <w:t> за 2020 год</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   отдел ГО и ЧС и координации деятельности в сфере правопорядка Администрации  Пристенского района Курской области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Непосредственный исполнитель –  главный специалист- эксперт  отдела ГО и ЧС и координации деятельности в сфере правопорядка Администрации Пристенского района Курской области Прокопов О.А.. тел. 2-12-69, otdelgo</w:t>
      </w:r>
      <w:r>
        <w:rPr>
          <w:rFonts w:ascii="Tahoma" w:hAnsi="Tahoma" w:cs="Tahoma"/>
          <w:color w:val="000000"/>
          <w:sz w:val="13"/>
          <w:szCs w:val="13"/>
        </w:rPr>
        <w:softHyphen/>
      </w:r>
      <w:r>
        <w:rPr>
          <w:rFonts w:ascii="Tahoma" w:hAnsi="Tahoma" w:cs="Tahoma"/>
          <w:color w:val="000000"/>
          <w:sz w:val="13"/>
          <w:szCs w:val="13"/>
        </w:rPr>
        <w:softHyphen/>
      </w:r>
      <w:r>
        <w:rPr>
          <w:rFonts w:ascii="Tahoma" w:hAnsi="Tahoma" w:cs="Tahoma"/>
          <w:color w:val="000000"/>
          <w:sz w:val="13"/>
          <w:szCs w:val="13"/>
        </w:rPr>
        <w:softHyphen/>
      </w:r>
      <w:r>
        <w:rPr>
          <w:rFonts w:ascii="Tahoma" w:hAnsi="Tahoma" w:cs="Tahoma"/>
          <w:color w:val="000000"/>
          <w:sz w:val="13"/>
          <w:szCs w:val="13"/>
        </w:rPr>
        <w:softHyphen/>
        <w:t>_pristen@mail.ru</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И.О.Начальника  отдела ГО и ЧС и координации деятельности в сфере правопорядка Администрации Пристенского района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В.И.Коробка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отчетный период  отделом отдела ГО и ЧС и координации деятельности в сфере правопорядка Администрации Пристенского района Курской области осуществлялась реализация мероприятий в рамках муниципальной программы «Профилактика правонарушений в Пристенском районе Курской области на      2020 – 2022 годы</w:t>
      </w:r>
      <w:r>
        <w:rPr>
          <w:rStyle w:val="a4"/>
          <w:rFonts w:ascii="Tahoma" w:hAnsi="Tahoma" w:cs="Tahoma"/>
          <w:color w:val="000000"/>
          <w:sz w:val="13"/>
          <w:szCs w:val="13"/>
        </w:rPr>
        <w:t>» </w:t>
      </w: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2020 году в муниципальную программу «Профилактика правонарушений в Пристенском районе Курской области на      2020 – 2022 годы» были внесены изменения в соответствии с Постановлениями Администрации Пристенского района Курской области от 24 июля  2020 года №400-па и от30 декабря 2020 года №701-па. Данные изменения были внесены в связи с  изменениями в  финансировании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была направлена на  дальнейшее развитие и совершенствование целенаправленной скоординированной работы органов исполнительной власти по реализации государственной политики в сфере профилактики правонарушений. Целями муниципальной программы являются: обеспечение общественной безопасности и безопасности граждан на территории Пристенского района; 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Пристенского района; устранение причин и условий, порождающих коррупцию;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 повышение доверия общества к правоохранительным органам.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Достижение целей муниципальной программы осуществлялось через решение следующих задач:     повышение уровня защиты жизни, здоровья и безопасности граждан на территории Пристенского района Курской области, профилактике незаконной трудовой миграции; активизация участия и усиление взаимодействия территориальных органов федеральных органов исполнительной власти, органов исполнительной власти и органов местного самоуправления Пристенского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 профилактика коррупции в органах местного самоуправления, формирование в обществе негативного отношения к коррупционному поведению; оптимизация работы по предупреждению и профилактике преступлений и иных правонарушений, совершенных на улицах и в других общественных местах; 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 профилактика рецидивной преступности, в том числе среди осужденных к наказаниям, </w:t>
      </w:r>
      <w:r>
        <w:rPr>
          <w:rFonts w:ascii="Tahoma" w:hAnsi="Tahoma" w:cs="Tahoma"/>
          <w:color w:val="000000"/>
          <w:sz w:val="13"/>
          <w:szCs w:val="13"/>
        </w:rPr>
        <w:lastRenderedPageBreak/>
        <w:t>не связанным с лишением свободы. Формирование и развитие межведомственной системы ресоциализации лиц, освободившихся из мест лишения свободы; 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 содействие трудовой занятости лиц, отбывающих наказание и освободившихся из мест лишения свободы;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Сведения об использовании бюджетных ассигнований бюджета муниципального района «Пристенский район» в разрезе средств               бюджетов различных уровней приведены в табл.1 (тыс.руб)</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7233" w:type="dxa"/>
        <w:tblCellSpacing w:w="0" w:type="dxa"/>
        <w:shd w:val="clear" w:color="auto" w:fill="EEEEEE"/>
        <w:tblCellMar>
          <w:left w:w="0" w:type="dxa"/>
          <w:right w:w="0" w:type="dxa"/>
        </w:tblCellMar>
        <w:tblLook w:val="04A0"/>
      </w:tblPr>
      <w:tblGrid>
        <w:gridCol w:w="2852"/>
        <w:gridCol w:w="1095"/>
        <w:gridCol w:w="1154"/>
        <w:gridCol w:w="980"/>
        <w:gridCol w:w="1152"/>
      </w:tblGrid>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Наименование</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ЦСР</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Сумма                 на 2020 год</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Факт               на 2020 год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Процент исполнения расходов,  %</w:t>
            </w:r>
          </w:p>
        </w:tc>
      </w:tr>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Муниципальная программа «Профилактика преступлений и иных  правонарушений  в Пристенском районе Курской области на 2020 – 2022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2 014,563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1 740,969</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86,4</w:t>
            </w:r>
          </w:p>
        </w:tc>
      </w:tr>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Подпрограмма «Управление муниципальной программой и обеспечение условий реализации»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12 1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305,800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305,800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100,0</w:t>
            </w:r>
          </w:p>
        </w:tc>
      </w:tr>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«Обеспечение деятельности комиссии по делам несовершеннолетних и защите их прав  в Пристенском районе»</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12 1 01 00000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305,800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305,800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100,0</w:t>
            </w:r>
          </w:p>
        </w:tc>
      </w:tr>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Подпрограмма «Обеспечение  правопорядка  на  территории  муниципального образования»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12 2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27,800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17,800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64,0</w:t>
            </w:r>
          </w:p>
        </w:tc>
      </w:tr>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«Мероприятия, направленные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12 2 01 00000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27,800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17,800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64,0</w:t>
            </w:r>
          </w:p>
        </w:tc>
      </w:tr>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Подпрограмма «Профилактика терроризма и экстремизма в Пристенском районе Курской области»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12 3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1 680,963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1 417,369</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84,3</w:t>
            </w:r>
          </w:p>
        </w:tc>
      </w:tr>
      <w:tr w:rsidR="000F13B9" w:rsidTr="000F13B9">
        <w:trPr>
          <w:tblCellSpacing w:w="0" w:type="dxa"/>
        </w:trPr>
        <w:tc>
          <w:tcPr>
            <w:tcW w:w="3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«Усиление антитеррористической защищенности административных зданий, объектов образования, здравоохранения, культуры, спорта и объектов с массовым пребыванием граждан»</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12 3 01 00000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1 680,963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1 417,369</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84,3</w:t>
            </w:r>
          </w:p>
        </w:tc>
      </w:tr>
    </w:tbl>
    <w:p w:rsidR="000F13B9" w:rsidRDefault="000F13B9" w:rsidP="000F13B9">
      <w:pPr>
        <w:pStyle w:val="a3"/>
        <w:shd w:val="clear" w:color="auto" w:fill="EEEEEE"/>
        <w:spacing w:before="0" w:beforeAutospacing="0" w:after="240" w:afterAutospacing="0"/>
        <w:jc w:val="both"/>
        <w:rPr>
          <w:rFonts w:ascii="Tahoma" w:hAnsi="Tahoma" w:cs="Tahoma"/>
          <w:color w:val="000000"/>
          <w:sz w:val="13"/>
          <w:szCs w:val="13"/>
        </w:rPr>
      </w:pP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Информация об бюджетных ассигнованиях, при реализации  муниципальной программы приведена в табл.2  (тыс.руб)</w:t>
      </w:r>
    </w:p>
    <w:tbl>
      <w:tblPr>
        <w:tblW w:w="7920" w:type="dxa"/>
        <w:tblCellSpacing w:w="0" w:type="dxa"/>
        <w:shd w:val="clear" w:color="auto" w:fill="EEEEEE"/>
        <w:tblCellMar>
          <w:left w:w="0" w:type="dxa"/>
          <w:right w:w="0" w:type="dxa"/>
        </w:tblCellMar>
        <w:tblLook w:val="04A0"/>
      </w:tblPr>
      <w:tblGrid>
        <w:gridCol w:w="1846"/>
        <w:gridCol w:w="1274"/>
        <w:gridCol w:w="1164"/>
        <w:gridCol w:w="1192"/>
        <w:gridCol w:w="1081"/>
        <w:gridCol w:w="1363"/>
      </w:tblGrid>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Функциональная классификация расходов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Предусмотрено решением о бюджете</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Предусмотрено муниципальной программой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Кассовое исполнение (факт) за отчетный год</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Процент исполнения расходов,  %</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b/>
                <w:bCs/>
                <w:color w:val="000000"/>
                <w:sz w:val="13"/>
                <w:szCs w:val="13"/>
              </w:rPr>
              <w:t>6</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xml:space="preserve">Муниципальная программа «Профилактика преступлений и иных  правонарушений  в Пристенском районе </w:t>
            </w:r>
            <w:r>
              <w:rPr>
                <w:rStyle w:val="a4"/>
                <w:rFonts w:ascii="Tahoma" w:hAnsi="Tahoma" w:cs="Tahoma"/>
                <w:color w:val="000000"/>
                <w:sz w:val="13"/>
                <w:szCs w:val="13"/>
              </w:rPr>
              <w:lastRenderedPageBreak/>
              <w:t>Курской области на 2020 – 2022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2 014,6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2 014,6</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1 741,0</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86,4</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lastRenderedPageBreak/>
              <w:t>- средства местного бюджета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1 708,8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1 708,8</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1 435,2</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84,0</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средства областного бюджета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100,0</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т.ч. в разрезе  разделов, подраздела бюджетной классификации расходов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rPr>
                <w:rFonts w:ascii="Tahoma" w:hAnsi="Tahoma" w:cs="Tahoma"/>
                <w:color w:val="000000"/>
                <w:sz w:val="13"/>
                <w:szCs w:val="13"/>
              </w:rPr>
            </w:pP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rPr>
                <w:rFonts w:ascii="Tahoma" w:hAnsi="Tahoma" w:cs="Tahoma"/>
                <w:color w:val="000000"/>
                <w:sz w:val="13"/>
                <w:szCs w:val="13"/>
              </w:rPr>
            </w:pP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320,6</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320,6</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100,0</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Дошкольное образование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0701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574,4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574,4</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502,6</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87,5</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Общее образование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0702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1 066,6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1 066,6</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864,8</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81,1</w:t>
            </w:r>
          </w:p>
        </w:tc>
      </w:tr>
      <w:tr w:rsidR="000F13B9" w:rsidTr="000F13B9">
        <w:trPr>
          <w:tblCellSpacing w:w="0" w:type="dxa"/>
        </w:trPr>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Культура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0801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53,0</w:t>
            </w:r>
          </w:p>
        </w:tc>
        <w:tc>
          <w:tcPr>
            <w:tcW w:w="21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100,0</w:t>
            </w:r>
          </w:p>
        </w:tc>
      </w:tr>
    </w:tbl>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рамках мероприятия  «Обеспечение деятельности комиссии по делам несовершеннолетних и защите их прав Пристенского района: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за счет субвенции, предоставляемой из областного бюджета средств»     Администрацией Пристенского района Курской области в 2020 году было использовано средств субвенций на сумму 305800 руб., в том числе: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заработная плата специалиста                                          - 305800 руб.;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приоритетными направлениями деятельности органов и учреждений системы профилактики Пристенского района Курской области в 2020 году являлись:</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повышение качества и эффективности работы системы профилактики преступлений и иных правонарушений несовершеннолетних и в их отношении; обеспечение на территории Пристенского района взаимодействия органов и учреждений системы профилактики безнадзорности и правонарушений несовершеннолетних;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своевременное выявление несовершеннолетних и семей, находящихся в социально-опасном положении, организации их социально-педагогической реабилитации; 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  профилактика семейного неблагополучия и социального сиротства, развития семейных форм устройства детей-сирот и детей, оставшихся без попечения родителей, оказание поддержки и помощи семьям, оказавшимся в кризисной ситуации;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создание эффективной системы профилактики правонарушений, совершаемых в отношении детей, и правонарушений самих детей, системы правосудия и системы исполнения наказаний, дружественных к ребенку;</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развитие и организация сети школьных служб примирения, нацеленных на разрешение конфликтов в образовательных организациях, профилактику правонарушении  детей и подростков, улучшение отношений в образовательном учреждении;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рецидивной преступности, в том числе среди несовершеннолетних, осужденных к наказаниям, не связанным с лишением свободы;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 условий для вовлечения молодежи в активную общественную деятельность, гражданско-патриотическое воспитание молодежи; поддержка общественно значимых инициатив, общественно полезной деятельности молодежи, молодежных, детских общественных объединений; повышение качества профилактической работы с несовершеннолетними и родителями, состоящими на учете в КДН и ЗП; увеличение занятости несовершеннолетних досуговой деятельностью.</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рамках мероприятия  «Обеспечение деятельности комиссии по делам несовершеннолетних и защите их прав Пристенского района была проведена следующая работа: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итогам 12 месяцев  2020 году на территории Пристенского района произошло снижение  подростковой преступности  с 18 до 7 преступлений (динамика снижения составила – 64,1 %).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с 13 до 7 снизилось количество несовершеннолетних, принявших участие в совершении преступлений. Динамика снижения составила – 46,2 %.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Удельный вес подростковой преступности по сравнению с АППГ также снизился с  12,2 %  до 5,3 %.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11 до 4 снизилось количество преступлений совершенных несовершеннолетними в составе группы.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8 до 1 снизилось количество  тяжких и особо тяжких преступлений.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14 до 2 снизилось количество совершенных преступлений в общественных местах.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допущено совершение преступлений в ночное время (АППГ-1), в состоянии алкогольного опьянения (АППГ-5).</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территории Пристенского района 1 несовершеннолетний, совершивший общественно опасное деяние (АППГ - 3).</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В 2020 году проведено 15 заседаний комиссии (в том числе 1 расширенное), рассмотрено 23 обще профилактических вопроса.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По состоянию на 01.03.2021 года на учете в КДН и ЗП состоит 5 несовершеннолетних</w:t>
      </w:r>
      <w:r>
        <w:rPr>
          <w:rFonts w:ascii="Tahoma" w:hAnsi="Tahoma" w:cs="Tahoma"/>
          <w:color w:val="000000"/>
          <w:sz w:val="13"/>
          <w:szCs w:val="13"/>
        </w:rPr>
        <w:t>, все состоящие на учете являются обучающимися образовательных учреждений. Незанятых несовершеннолетних на учете в КДН и ЗП Пристенского района не состоит.</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2020 году с учета КДН и ЗП было снято 14 несовершеннолетних (из них 13 - по исправлению). Поставлено на учет было 15 подростков.</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В КДН и ЗП состоит 5 семей, находящихся в социально опасном положении, в них 8 детей.</w:t>
      </w:r>
      <w:r>
        <w:rPr>
          <w:rFonts w:ascii="Tahoma" w:hAnsi="Tahoma" w:cs="Tahoma"/>
          <w:color w:val="000000"/>
          <w:sz w:val="13"/>
          <w:szCs w:val="13"/>
        </w:rPr>
        <w:t> В 2020 году снято с учете 2 семьи, поставлено 4 семьи.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2020 году на территории Пристенского района проведено 61 рейдовое мероприятие: по обследованию семейно-бытовых условий жизни несовершеннолетних - 41; в досуговые учреждения - 6; в места возможного пребывания несовершеннолетних - 14. В ходе рейдов обследовано 85 семей. Организовано комиссией 16 публикаций в СМИ. В службу судебных приставов направлено 44 постановления для принудительного исполнения штрафов</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За отчетный период 2020 года в комиссию </w:t>
      </w:r>
      <w:r>
        <w:rPr>
          <w:rFonts w:ascii="Tahoma" w:hAnsi="Tahoma" w:cs="Tahoma"/>
          <w:color w:val="000000"/>
          <w:sz w:val="13"/>
          <w:szCs w:val="13"/>
          <w:u w:val="single"/>
        </w:rPr>
        <w:t>поступило 103 административных дела в отношении родителей</w:t>
      </w:r>
      <w:r>
        <w:rPr>
          <w:rFonts w:ascii="Tahoma" w:hAnsi="Tahoma" w:cs="Tahoma"/>
          <w:color w:val="000000"/>
          <w:sz w:val="13"/>
          <w:szCs w:val="13"/>
        </w:rPr>
        <w:t> или иных законных представителей, </w:t>
      </w:r>
      <w:r>
        <w:rPr>
          <w:rFonts w:ascii="Tahoma" w:hAnsi="Tahoma" w:cs="Tahoma"/>
          <w:color w:val="000000"/>
          <w:sz w:val="13"/>
          <w:szCs w:val="13"/>
          <w:u w:val="single"/>
        </w:rPr>
        <w:t>иных взрослых лиц - 3</w:t>
      </w:r>
      <w:r>
        <w:rPr>
          <w:rFonts w:ascii="Tahoma" w:hAnsi="Tahoma" w:cs="Tahoma"/>
          <w:color w:val="000000"/>
          <w:sz w:val="13"/>
          <w:szCs w:val="13"/>
        </w:rPr>
        <w:t>. </w:t>
      </w:r>
      <w:r>
        <w:rPr>
          <w:rFonts w:ascii="Tahoma" w:hAnsi="Tahoma" w:cs="Tahoma"/>
          <w:color w:val="000000"/>
          <w:sz w:val="13"/>
          <w:szCs w:val="13"/>
          <w:u w:val="single"/>
        </w:rPr>
        <w:t>В отношении несовершеннолетних в комиссию поступило 48 административных дел (прекращено - 2, штрафы - 28, предупреждения - 18)</w:t>
      </w:r>
      <w:r>
        <w:rPr>
          <w:rFonts w:ascii="Tahoma" w:hAnsi="Tahoma" w:cs="Tahoma"/>
          <w:color w:val="000000"/>
          <w:sz w:val="13"/>
          <w:szCs w:val="13"/>
        </w:rPr>
        <w:t>.</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истекший период 2020 года произошло уменьшение рейдовых мероприятий и посещения семей, в связи</w:t>
      </w:r>
      <w:r>
        <w:rPr>
          <w:rStyle w:val="a4"/>
          <w:rFonts w:ascii="Tahoma" w:hAnsi="Tahoma" w:cs="Tahoma"/>
          <w:color w:val="000000"/>
          <w:sz w:val="13"/>
          <w:szCs w:val="13"/>
        </w:rPr>
        <w:t> </w:t>
      </w:r>
      <w:r>
        <w:rPr>
          <w:rFonts w:ascii="Tahoma" w:hAnsi="Tahoma" w:cs="Tahoma"/>
          <w:color w:val="000000"/>
          <w:sz w:val="13"/>
          <w:szCs w:val="13"/>
        </w:rPr>
        <w:t>с пандемией коронавирусной инфекции (COVID-19). Увеличилось число поступивших в комиссию протоколов на несовершеннолетних и родителей, в связи с невыполнением правил поведения при введении режима повышенной готовности (ст. 20.6.1 ч. 1 КоАП РФ).</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 числу основных мероприятий, дающих положительный результат относятся: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совместные рейдовые мероприятия КДН и ЗП с Отд МВД России по Пистенскому району, с целью недопущения совершения правонарушений и преступлений несовершеннолетними в вечернее время;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 целью раннего выявления и предупреждения проступков среди несовершеннолетних в образовательных учреждениях проводятся лекции-беседы с подростками и родителями с приглашением сотрудников Отд МВД России по Пристенскому району;</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посещение семей, состоящих на различных видах учета с главами муниципальных образований.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Ежемесячно проводятся заседания комиссии, где рассматриваются проблемные вопросы, вырабатываются дополнительные меры.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целях недопущения роста преступности и стабилизации криминогенных процессов в подростковой среде во взаимодействии с другими заинтересованными ведомствами, входящими в систему профилактики безнадзорности и правонарушений несовершеннолетних, осуществлялся комплекс организационно - практических мер, направленных на предупреждение  правонарушений и преступлений среди  несовершеннолетних: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ежеквартально на заседаниях комиссии рассматриваются вопросы состояния  подростковой преступности и эффективности принимаемых мер, с участием   директоров школ, глав сельских советов, руководителей учреждений системы профилактики района.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связи с тем, что преступления совершены в ночное время увеличили проведение межведомственных рейдовых мероприятий в места вечернего отдыха несовершеннолетних (парки, скверы, стадионы, кафе, РДК, сельские клубы), с целью выявления и недопущения правонарушений и преступлений среди несовершеннолетних;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профилактическая работа с семьями, состоящими на различных видах учета (ВШУ - внутришкольный учет, КДН и ЗП, ПДН) органов и учреждений системы профилактики, с целью недопущения административных правонарушений  и преступлений несовершеннолетними и в отношении несовершеннолетних;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профилактические мероприятия образовательных организаций с несовершеннолетними (лекции, беседы, круглые столы), с целью раннего выявления несовершеннолетних склонных к правонарушениям;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вовлечение несовершеннолетних, состоящих на учетах (ВШУ - внутришкольный учет, КДН и ЗП, ПДН) в досуговую деятельность, на базе образовательных, а также при взаимодействии с Центром занятости населения, трудоустройство несовершеннолетних в каникулярный период времени;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принятие участия органами и учреждениями системы профилактики в родительских собраниях, с целью проведения лекций по предупреждению и не допущению  административных правонарушений среди несовершеннолетних и родителей.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рамках  основного мероприятия «Мероприятия, направленное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 за счет средств бюджета МО «Пристенский район»   были приобретены: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Совместно с прокуратурой Пристенского района баннер с инфрмацией о профилактике коррупционных проявлений форменная </w:t>
      </w:r>
      <w:r>
        <w:rPr>
          <w:rFonts w:ascii="Tahoma" w:hAnsi="Tahoma" w:cs="Tahoma"/>
          <w:color w:val="000000"/>
          <w:sz w:val="13"/>
          <w:szCs w:val="13"/>
        </w:rPr>
        <w:t>  на сумму14,800 рублей;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Литература по профилактике правонарушений для Районной межпоселенческой библиотеки на сумму 3000 рублей.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Общая сумма израсходованных средств местного бюджета составила17800 рублей   (план составлял 28700 рублей).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рамках  основного мероприятия «Мероприятия, направленное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  органами профилактики проводилась следующая работа</w:t>
      </w:r>
      <w:r>
        <w:rPr>
          <w:rFonts w:ascii="Tahoma" w:hAnsi="Tahoma" w:cs="Tahoma"/>
          <w:color w:val="000000"/>
          <w:sz w:val="13"/>
          <w:szCs w:val="13"/>
        </w:rPr>
        <w:t>:</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1.Управлением образования, опеки и попечительства: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w:t>
      </w:r>
      <w:r>
        <w:rPr>
          <w:rFonts w:ascii="Tahoma" w:hAnsi="Tahoma" w:cs="Tahoma"/>
          <w:color w:val="000000"/>
          <w:sz w:val="13"/>
          <w:szCs w:val="13"/>
        </w:rPr>
        <w:t> В целях повышения эффективности  работы по профилактике правонарушений и преступлений обучающихся (в том числе и на почве экстремизма и расовой неприязни) в планы работы образовательных учреждений района на 2019-2020 и 2020-2021 уч.г.  были включены разделы взаимодействия с такими общественными организациями и движениями Курской области как Курская региональная детско-молодежная общественная организация «Школа молодежных лидеров», Курская региональная молодежная общественная организация «Объединенный центр «Монолит», Курская областная молодежная общественная патриотическая организация Центр «Поиск», региональное отделение Всероссийской общественной организации «Молодая Гвардия Единой России» Курской области, областное общественное объединение «Курский союз детских, пионерских организаций», Курская областная детская общественная организация «Детский центр мира». Запланированные совместные мероприятия выполнены в полном объеме;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б)</w:t>
      </w:r>
      <w:r>
        <w:rPr>
          <w:rFonts w:ascii="Tahoma" w:hAnsi="Tahoma" w:cs="Tahoma"/>
          <w:color w:val="000000"/>
          <w:sz w:val="13"/>
          <w:szCs w:val="13"/>
        </w:rPr>
        <w:t> В период летних каникул 2020 г. общеобразовательные организации района продолжили работу по оздоровлению школьников. В июле – августе 2020 г. – на базах школ работали в дистанционном формате 5 лагерей с дневным пребыванием 246 учащихся, из них детей в ТЖС – 81.</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организации досуга и занятости школьников, в т.ч. совершивших преступления или правонарушения, в школах района организована работа  кружков и спортивных секций, в которых занимаются 1169 школьников, из них 43 учащихся, состоящих на ВШУ. 12 спортивных клубов школ объединяют в регулярных занятиях физической культурой и спортом 683 учащихся. В 17 группах 10 кружках  ДДТ занимаются 235 школьников, в 17 группах по 6 видам спорта ДЮСШ, действующих на базе 10 образовательных организаций занимались 251 школьников. Работа всех кружков и  секции организована на общедоступной, бесплатной основе.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результате целенаправленной работы учителей-предметников, классных руководителей, заместителей директоров по воспитательной работе, педагогов дополнительного образования, тренеров-преподавателей школ района из 11 школьников, находящихся в социально опасном положении (7 - состоящих на учёте в КДН и ЗП, 4- проживающих в неблагополучных семьях), все 11 обучающихся вовлечены во внеурочную и досуговую деятельност;</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w:t>
      </w:r>
      <w:r>
        <w:rPr>
          <w:rFonts w:ascii="Tahoma" w:hAnsi="Tahoma" w:cs="Tahoma"/>
          <w:color w:val="000000"/>
          <w:sz w:val="13"/>
          <w:szCs w:val="13"/>
        </w:rPr>
        <w:t> Осуществлено совместно со службой занятости трудоустройство несовершеннолетних в период летних каникул, что позволило не только организовать занятость несовершеннолетних старше 14 лет, но и материально помочь детям из категории ТЖС и находящихся в социально-опасном положении (трудоустроено в весенне-летний каникулярный период 69 несовершеннолетних) Управление образования, опеки и попечительства Администрации Пристенского района, образовательные организации района осуществляют активное взаимодействие с мед.работниками по вопросам пропаганды ЗОЖ среди школьников района, при проведении профилактических мероприятий, в том числе и при проведении диспансеризации и профилактических осмотров школьников;</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w:t>
      </w:r>
      <w:r>
        <w:rPr>
          <w:rFonts w:ascii="Tahoma" w:hAnsi="Tahoma" w:cs="Tahoma"/>
          <w:color w:val="000000"/>
          <w:sz w:val="13"/>
          <w:szCs w:val="13"/>
        </w:rPr>
        <w:t> В сентябре-октябре 2020 г 456 учащихся школ района приняли участие в проведении социально-психологического тестирования  обучающихся  7-11 классов  общеобразовательных организаций Курской области на предмет раннего выявления немедицинского потребления алкоголя, наркотических средств, психотропных веществ, курительных смесей, табака. По результатам анкетирования классными руководителями,  зам. директором по ВР, педагогом-психологом, социальным педагогом проводился анализ данных и корректировка планов работы с классными коллективами, в том числе по повышению устойчивости личности подростков к негативному влиянию социального окружения.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Проводились сверки данных о детях, состоящих на профилактическом учёте у  нарколога, за употребление спиртных напитков – на учёте в ПДН, КДН и ЗП;</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w:t>
      </w:r>
      <w:r>
        <w:rPr>
          <w:rFonts w:ascii="Tahoma" w:hAnsi="Tahoma" w:cs="Tahoma"/>
          <w:color w:val="000000"/>
          <w:sz w:val="13"/>
          <w:szCs w:val="13"/>
        </w:rPr>
        <w:t> За период с января по декабрь 2020 года были проведены соревнования районной Спартакиады обучающихся МКОУ Пристенского района по 6 видам спорта: «Президентские состязания, спортивные игры», волейбол (юноши), волейбол (девушки), лёгкая атлетика, легкоатлетический кросс и мини-футбол; Спартакиада школьных спортивных клубов по 5 видам спорта: «Президентские состязания» (1-4 кл.), легкоатлетическое четырёхборье, стритбол (юноши),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стритбол (девушки) и мини-футбол; 5 первенств и турниров МКОУ ДО «ДЮСШ» по настольному теннису, волейболу (девушки), волейболу (юноши) и дзюдо; Олимпиада по физической культуре.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Всего в течение года в районных спортивно-массовых мероприятиях приняло участие 855 обучающийся.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45 обучающихся приняли участие в 4 финальных соревнованиях областной спартакиады обучающихся и «Осеннем Фестивале школьных спортивных клубов».</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62 обучающихся  активно участвовали в таких областных спортивно-массовых мероприятиях, как «КЭС-БАСКЕТ» (юноши, девушки), «Зимний Фестиваль ГТО», «Кросс нации», а также выездах на турниры и первенства по дзюдо и самбо в Курской и Белгородской областях. 12 спортивных клубов школ объединяют в регулярных занятиях физической культурой и спортом 683 учащихся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Отделом культуры и молодежной политики;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В рамках мероприятий зонального центра военно-патриотического воспитания допризывной молодежи Пристенского района проводились: волонтерские акция: «Волонтеры Победы» уборка памятников, помощь ветеранов и т.п. -  по мере необходимости в течение года, «Георгиевская лента», «Бессмертный полк» в канун празднования Дня Победы 9 мая. Проведено военно-спортивная игра «Зарница» среди школ района- 2 раза в год (май, октябрь).   Проведена работа с поисковым отрядом «Новое поколение» МКОУ «СОШ №2 пос. Пристень»- участие в областной поисковой экспедиции «Вахта памяти»;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ОрганизациЮ библиотечного обслуживания    детей, подростков и молодёжи  Пристенского района в 2020 году  осуществляли  25 библиотек. В том числе 3 специализированных детских библиотеки, 6 модельных из них одна детская.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Возраст групп читателей, с которой библиотеки систематически ведут работу – это дети до 14 лет,  молодежь от 15 до 30 лет. Это дошкольники, обучающиеся школ, студенты, работающая и неработающая молодежь.</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абонементе для молодых читателей в библиотеках района организована юношеская группа. Число читателей этой группы составило в 2020 году  3065 человек. С этой категорией в ушедшем году проведено 136 массовых мероприятий.  В этом направлении налажены партнёрские отношения с педагогами учебных заведений района.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библиотеках  для обучающихся школ, студентов выделены стеллажи молодёжной литературы с выставками, открытыми полками литературы: Отмечены День прав человека, День защиты детей и др. даты. В 2020 году для пользователей были разработаны цикл тематических полок «Право и закон», книжные выставки («Крепка семья - крепка держава», «Книга на орбите закона», «Территория права. Новые законодательные акты и кодексы», «Человек – это звучит гордо», «Осенний призыв» и др.), информационные стенды («Новое в законодательстве. Законы, вступившие в силу 2020 году», «Право руля», «Авторские права. Что мы о них знаем?», «Под знаком Красного креста» и др.), правовые уголки («Твои права», «Детство под защитой» и др.).</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Широко была представлена библиографическая продукция разработанная библиотеками района. Центром правовой информации и отделом обслуживания МКУК «Пристенская межпоселенческая библиотека» были выпущены буклеты</w:t>
      </w:r>
      <w:r>
        <w:rPr>
          <w:rStyle w:val="a4"/>
          <w:rFonts w:ascii="Tahoma" w:hAnsi="Tahoma" w:cs="Tahoma"/>
          <w:color w:val="000000"/>
          <w:sz w:val="13"/>
          <w:szCs w:val="13"/>
        </w:rPr>
        <w:t>:</w:t>
      </w:r>
      <w:r>
        <w:rPr>
          <w:rFonts w:ascii="Tahoma" w:hAnsi="Tahoma" w:cs="Tahoma"/>
          <w:color w:val="000000"/>
          <w:sz w:val="13"/>
          <w:szCs w:val="13"/>
        </w:rPr>
        <w:t> «Сохраним природу вместе», «Здоровье в ритме жизни», «Наркотик – твой враг», «Твое право, твой долг», «Правовая ответственность несовершеннолетних!», «Секреты семейного счастья», «Выборы – дело серьезное!», «Наша гордость и слава», «Что ты должен знать о Конституции РФ»  </w:t>
      </w:r>
      <w:r>
        <w:rPr>
          <w:rStyle w:val="a4"/>
          <w:rFonts w:ascii="Tahoma" w:hAnsi="Tahoma" w:cs="Tahoma"/>
          <w:color w:val="000000"/>
          <w:sz w:val="13"/>
          <w:szCs w:val="13"/>
        </w:rPr>
        <w:t>- </w:t>
      </w:r>
      <w:r>
        <w:rPr>
          <w:rFonts w:ascii="Tahoma" w:hAnsi="Tahoma" w:cs="Tahoma"/>
          <w:color w:val="000000"/>
          <w:sz w:val="13"/>
          <w:szCs w:val="13"/>
        </w:rPr>
        <w:t>информационные буклеты;  «Единым духом мы сильны », «Остановись и подумай» «Беслан. Мы помним» - информационные закладки.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2020 года осуществлялось справочно-библиографическое обслуживание пользователей по выполнению запросов, связанных с поиском материалов по правовым темам и юридическим вопросам, книг и статей их журналов конкретных авторов, уточнением каких-либо фактов.На протяжении нескольких лет Пристенская межпоселенческая библиотека ведет тесное взаимодействие с Территориальной избирательной комиссией по повышению правовой культуры избирателей. В феврале, в рамках празднования Декады молодого избирателя со студентами «Обоянского аграрного техникума» прошла игра – путешествие «Узнай о выборах больше». Ребята проходили разнообразные игровые и интеллектуальные туры: Кандидаты и депутаты, Азбука избирателя, Составь слово, Чей это флаг. Цель мероприятия: способствовать формированию навыков гражданской позиции.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участников мероприятия  был показан информационный ролик.  В конце игры все  получили памятные призы. Вот уже много лет при Секторе правовой информации Межпоселенческой библиотеки работает клуб  «Молодежь и закон».</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клуба прошли: познавательно  игровой час</w:t>
      </w:r>
      <w:r>
        <w:rPr>
          <w:rStyle w:val="a4"/>
          <w:rFonts w:ascii="Tahoma" w:hAnsi="Tahoma" w:cs="Tahoma"/>
          <w:color w:val="000000"/>
          <w:sz w:val="13"/>
          <w:szCs w:val="13"/>
        </w:rPr>
        <w:t> </w:t>
      </w:r>
      <w:r>
        <w:rPr>
          <w:rFonts w:ascii="Tahoma" w:hAnsi="Tahoma" w:cs="Tahoma"/>
          <w:color w:val="000000"/>
          <w:sz w:val="13"/>
          <w:szCs w:val="13"/>
        </w:rPr>
        <w:t>«Путешествие по  дорогам здоровья</w:t>
      </w:r>
      <w:r>
        <w:rPr>
          <w:rStyle w:val="a4"/>
          <w:rFonts w:ascii="Tahoma" w:hAnsi="Tahoma" w:cs="Tahoma"/>
          <w:color w:val="000000"/>
          <w:sz w:val="13"/>
          <w:szCs w:val="13"/>
        </w:rPr>
        <w:t>»,  </w:t>
      </w:r>
      <w:r>
        <w:rPr>
          <w:rFonts w:ascii="Tahoma" w:hAnsi="Tahoma" w:cs="Tahoma"/>
          <w:color w:val="000000"/>
          <w:sz w:val="13"/>
          <w:szCs w:val="13"/>
        </w:rPr>
        <w:t>сетевой флешмоб</w:t>
      </w:r>
      <w:r>
        <w:rPr>
          <w:rStyle w:val="a4"/>
          <w:rFonts w:ascii="Tahoma" w:hAnsi="Tahoma" w:cs="Tahoma"/>
          <w:color w:val="000000"/>
          <w:sz w:val="13"/>
          <w:szCs w:val="13"/>
        </w:rPr>
        <w:t> «</w:t>
      </w:r>
      <w:r>
        <w:rPr>
          <w:rFonts w:ascii="Tahoma" w:hAnsi="Tahoma" w:cs="Tahoma"/>
          <w:color w:val="000000"/>
          <w:sz w:val="13"/>
          <w:szCs w:val="13"/>
        </w:rPr>
        <w:t>Страна, что названа великой</w:t>
      </w:r>
      <w:r>
        <w:rPr>
          <w:rStyle w:val="a4"/>
          <w:rFonts w:ascii="Tahoma" w:hAnsi="Tahoma" w:cs="Tahoma"/>
          <w:color w:val="000000"/>
          <w:sz w:val="13"/>
          <w:szCs w:val="13"/>
        </w:rPr>
        <w:t>» - </w:t>
      </w:r>
      <w:r>
        <w:rPr>
          <w:rFonts w:ascii="Tahoma" w:hAnsi="Tahoma" w:cs="Tahoma"/>
          <w:color w:val="000000"/>
          <w:sz w:val="13"/>
          <w:szCs w:val="13"/>
        </w:rPr>
        <w:t>ко Дню России</w:t>
      </w:r>
      <w:r>
        <w:rPr>
          <w:rStyle w:val="a4"/>
          <w:rFonts w:ascii="Tahoma" w:hAnsi="Tahoma" w:cs="Tahoma"/>
          <w:color w:val="000000"/>
          <w:sz w:val="13"/>
          <w:szCs w:val="13"/>
        </w:rPr>
        <w:t>, </w:t>
      </w:r>
      <w:r>
        <w:rPr>
          <w:rFonts w:ascii="Tahoma" w:hAnsi="Tahoma" w:cs="Tahoma"/>
          <w:color w:val="000000"/>
          <w:sz w:val="13"/>
          <w:szCs w:val="13"/>
        </w:rPr>
        <w:t>правовые акции</w:t>
      </w:r>
      <w:r>
        <w:rPr>
          <w:rStyle w:val="a4"/>
          <w:rFonts w:ascii="Tahoma" w:hAnsi="Tahoma" w:cs="Tahoma"/>
          <w:color w:val="000000"/>
          <w:sz w:val="13"/>
          <w:szCs w:val="13"/>
        </w:rPr>
        <w:t> </w:t>
      </w:r>
      <w:r>
        <w:rPr>
          <w:rFonts w:ascii="Tahoma" w:hAnsi="Tahoma" w:cs="Tahoma"/>
          <w:color w:val="000000"/>
          <w:sz w:val="13"/>
          <w:szCs w:val="13"/>
        </w:rPr>
        <w:t>«Основной закон нашей жизни», «С законом  на Вы», познавательный урок «Береги, мой друг, семью – крепость главную твою»- ко  Дню семьи,  патриотическая акция «Флаг наш Российский, овеянный славой»- ко Дню государственного флага,  акция-памяти  «Будущее без терроризма, терроризм без будущего», экологическо-правовой всеобуч «Будущее планеты в твоих руках»,  правовой урок «Тебе о праве и право о тебе», виртуальное путешествие в историю «Сила России в Единстве» - ко Дню народного единства, сетевой час информации «Большие права маленького ребенка»- ко Дню защиты прав детей,   видео-урок в историю  «Конституция – закон, по нему мы все живем» - ко Дню Конституции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февраля   Черновецкая сельская библиотека совместно с Черновецкой СОШ провела правовой час «Право выбора за вами». В ходе мероприятия учащиеся 9-10-11 классов познакомились с историей и значимостью Дня молодого избирателя, призванного подчеркнуть особую роль молодого поколения в судьбе своей страны. Библиотекарь провела обзор «Выборы? Хочу всё знать» познакомив ребят с историей возникновения и развития избирательной системы России, с правами избирателей, системой избирательных комиссий, избирательным процессом. После полученной информации, учащиеся приняли участие в викторине «По лабиринтам права». Посмотрели презентацию «Избирательная система и избирательное право». К мероприятию оформлена книжная выставка «Твой выбор - твоё будущее» на выставке была представлена объективная и достоверная информация, которая заинтересовала молодых читателей. Ребятам были розданы памятки «Я молодой избиратель».     </w:t>
      </w:r>
      <w:r>
        <w:rPr>
          <w:rFonts w:ascii="Tahoma" w:hAnsi="Tahoma" w:cs="Tahoma"/>
          <w:color w:val="000000"/>
          <w:sz w:val="13"/>
          <w:szCs w:val="13"/>
          <w:u w:val="single"/>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Луговской сельской библиотекой с жителями х.Луг был проведен актуальный диалог «Нам жить! Нам выбирать!», цель которого – воспитание у населения чувств патриотизма, гражданской ответственности.  В ходе диалога собравшиеся были ознакомлены с процедурой проведения выборов, с кандидатами  в депутаты.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Ракитинской сельской библиотеке оформлен «Уголок правовой информации». Пользователи библиотеки могут ознакомиться с литературой юридического характера, а также с нормативными актами местного самоуправления.  К Международному дню защиты детей библиотекой была подготовлена лекция из цикла «Правоведческий лекторий» ‒ «Дети тоже имеют права». Лекция была подготовлена на основе Конвенции по правам ребёнка. С материалами лекции были ознакомлены родители и старшеклассники Бобрышевской СОШ.</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Выборы 2020. Час правовой информации «Выборы: коротко о важном».  Мероприятие проводилось на открытой площадке. Цель мероприятия – правовое информирование населения о предстоящих выборах.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3сентября – День солидарности в борьбе с терроризмом.  Этот день на сегодня является самой новой памятной датой России. В этот день в библиотеках МКУК «Пристенская межпоселенческая библиотека»  прошли: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учащимися старших классов урок мира «Скажи терроризму – НЕТ!» /Пристенская мод.детская библиотека/;урок памяти «Имя трагедии – Беслан» /Пристенская межпоселенческая библиотека/;   выставка-обзор «Терроризм – проблема современности» /Библиотеки района/; день информации «Мы помним тебя Беслан» /Луговская с/б/ ; урок гражданственности «Терроризм не имеет границ» /Котовская мод.с/б/ и др.</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Библиотекари Пристенской модельной детской библиотеки познакомили своих посетителей с литературой регламентирующей права ребенка и литературой, которая гарантирует защиту детей в видео презентации «Они – наше будущее», подготовленной и опубликованной на страничках в соц. сетях к Всемирному дню ребенка. Изучать и знать Правила движения необходимо каждому ребёнку, чтобы не подвергать свою жизнь опасности и не мешать движению транспорта. С целью профилактики детского травматизма на дорогах Пристенская детская библиотека провела акцию для детей «Безопасность на дороге».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Одно из направлений правового просвещения детей и подростков - знакомство с государственными символами нашей страны, которые выражают главную идею, объединяющую её граждан. В рамках празднования Дня государственного флага России  библиотекарь Сазановской сельской библиотеки  встретились с читателями библиотеки и провели для них информационно познавательный час «Флаг державы – символ славы». По данной тематике была подготовлена книжная выставка «22 Августа день государственного Флага Российской Федерации », на которой разместились книги не только о российском флаге, но и о гимне и гербе нашей Родины.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Забота о детях и подростках, об их активном, содержательном, интересном и полезном отдыхе остается приоритетным направлением в деятельности клубных учреждений.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Учреждения культуры района принимали участие в двух областных культурно-творческих акциях («Мир, который мы творим!» и «Здоровая молодежь – здоровая Россия») и областном фестивале тематических программ «К здоровью наперегонки».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этих мероприятий велась работа по следующим направлениям: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мероприятия по тематике года (Год Памяти и Славы, мероприятия по героико-</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патриотическому воспитанию;  Год здоровья, мероприятия по профилактике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наркомании и пропаганде здорового образа жизни);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мероприятия по формированию толерантного сознания, противодействия идеологии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терроризма и экстремизма;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мероприятия по возрождению и сохранению традиционной народной культуры.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Все эти направления учитываются в работе учреждений культуры при проведении  мероприятий в рамках областных культурно-творческих фестивалей и акций.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widowControl/>
        <w:numPr>
          <w:ilvl w:val="0"/>
          <w:numId w:val="15"/>
        </w:numPr>
        <w:shd w:val="clear" w:color="auto" w:fill="EEEEEE"/>
        <w:autoSpaceDN/>
        <w:adjustRightInd/>
        <w:ind w:left="0"/>
        <w:rPr>
          <w:rFonts w:ascii="Tahoma" w:hAnsi="Tahoma" w:cs="Tahoma"/>
          <w:color w:val="000000"/>
          <w:sz w:val="13"/>
          <w:szCs w:val="13"/>
        </w:rPr>
      </w:pPr>
      <w:r>
        <w:rPr>
          <w:rFonts w:ascii="Tahoma" w:hAnsi="Tahoma" w:cs="Tahoma"/>
          <w:color w:val="000000"/>
          <w:sz w:val="13"/>
          <w:szCs w:val="13"/>
        </w:rPr>
        <w:t>В работе по профилактике безнадзорности и правонарушений применяются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различные формы и методы клубной работы – это книжные выставки и выставки мастеров ДПИ, тематические вечера и беседы, конкурсно-игровые программы, викторины и познавательные часы, встречи с интересными людьми, ветеранами ВОВ,  воинами-интернационалистами и участниками локальных военных конфликтов.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Проводятся флэш-мобы, квест-игры по героико-патриотической тематике, по пропаганде здорового образа жизни. При подготовке и проведении мероприятий в эпидемиологической обстановке работниками культуры использовались разнообразные формы организации культурного досуга для населения, это: онлай-акции,  челленджи, онлайн-концерты, выставки рисунков и поделок с размещением в соц. сетях.   </w:t>
      </w:r>
    </w:p>
    <w:p w:rsidR="000F13B9" w:rsidRDefault="000F13B9" w:rsidP="000F13B9">
      <w:pPr>
        <w:widowControl/>
        <w:numPr>
          <w:ilvl w:val="0"/>
          <w:numId w:val="16"/>
        </w:numPr>
        <w:shd w:val="clear" w:color="auto" w:fill="EEEEEE"/>
        <w:autoSpaceDN/>
        <w:adjustRightInd/>
        <w:ind w:left="0"/>
        <w:rPr>
          <w:rFonts w:ascii="Tahoma" w:hAnsi="Tahoma" w:cs="Tahoma"/>
          <w:color w:val="000000"/>
          <w:sz w:val="13"/>
          <w:szCs w:val="13"/>
        </w:rPr>
      </w:pPr>
      <w:r>
        <w:rPr>
          <w:rFonts w:ascii="Tahoma" w:hAnsi="Tahoma" w:cs="Tahoma"/>
          <w:color w:val="000000"/>
          <w:sz w:val="13"/>
          <w:szCs w:val="13"/>
        </w:rPr>
        <w:t>В районе созданы и действуют общественные патриотические организации: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Пристенское районное отделение Всероссийской общественной организации ветеранов «Боевое братство», Пристенское отделение  Курской региональной общественной организации воинов-пограничников запаса «Зеленый легион»; на базе общеобразовательных школ созданы отряды Всероссийского молодежного движения «Юнармия», «Молодая гвардия», «Волонтер», поисковый отряд СОШ №2 «Новое поколение», интеллектуальные, патриотические клубы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 этими общественными организациями учреждения культуры поддерживают тесную связь.</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Одной из эффективных форм работы с несовершеннолетними является работа клубных формирований.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В 19 учреждениях культурно-досугового типа действуют   143</w:t>
      </w:r>
      <w:r>
        <w:rPr>
          <w:rStyle w:val="a5"/>
          <w:rFonts w:ascii="Tahoma" w:hAnsi="Tahoma" w:cs="Tahoma"/>
          <w:color w:val="000000"/>
          <w:sz w:val="13"/>
          <w:szCs w:val="13"/>
        </w:rPr>
        <w:t>  </w:t>
      </w:r>
      <w:r>
        <w:rPr>
          <w:rFonts w:ascii="Tahoma" w:hAnsi="Tahoma" w:cs="Tahoma"/>
          <w:color w:val="000000"/>
          <w:sz w:val="13"/>
          <w:szCs w:val="13"/>
        </w:rPr>
        <w:t>клубных формирования различной направленности  с числом участников – 1339 </w:t>
      </w:r>
      <w:r>
        <w:rPr>
          <w:rStyle w:val="a5"/>
          <w:rFonts w:ascii="Tahoma" w:hAnsi="Tahoma" w:cs="Tahoma"/>
          <w:color w:val="000000"/>
          <w:sz w:val="13"/>
          <w:szCs w:val="13"/>
        </w:rPr>
        <w:t> </w:t>
      </w:r>
      <w:r>
        <w:rPr>
          <w:rFonts w:ascii="Tahoma" w:hAnsi="Tahoma" w:cs="Tahoma"/>
          <w:color w:val="000000"/>
          <w:sz w:val="13"/>
          <w:szCs w:val="13"/>
        </w:rPr>
        <w:t>человек.</w:t>
      </w:r>
      <w:r>
        <w:rPr>
          <w:rStyle w:val="a5"/>
          <w:rFonts w:ascii="Tahoma" w:hAnsi="Tahoma" w:cs="Tahoma"/>
          <w:color w:val="000000"/>
          <w:sz w:val="13"/>
          <w:szCs w:val="13"/>
        </w:rPr>
        <w:t> </w:t>
      </w:r>
      <w:r>
        <w:rPr>
          <w:rFonts w:ascii="Tahoma" w:hAnsi="Tahoma" w:cs="Tahoma"/>
          <w:color w:val="000000"/>
          <w:sz w:val="13"/>
          <w:szCs w:val="13"/>
        </w:rPr>
        <w:t>Из общего числа клубных формирований  для детей – 65</w:t>
      </w:r>
      <w:r>
        <w:rPr>
          <w:rStyle w:val="a5"/>
          <w:rFonts w:ascii="Tahoma" w:hAnsi="Tahoma" w:cs="Tahoma"/>
          <w:color w:val="000000"/>
          <w:sz w:val="13"/>
          <w:szCs w:val="13"/>
        </w:rPr>
        <w:t>  </w:t>
      </w:r>
      <w:r>
        <w:rPr>
          <w:rFonts w:ascii="Tahoma" w:hAnsi="Tahoma" w:cs="Tahoma"/>
          <w:color w:val="000000"/>
          <w:sz w:val="13"/>
          <w:szCs w:val="13"/>
        </w:rPr>
        <w:t>с числом участников 557 </w:t>
      </w:r>
      <w:r>
        <w:rPr>
          <w:rStyle w:val="a5"/>
          <w:rFonts w:ascii="Tahoma" w:hAnsi="Tahoma" w:cs="Tahoma"/>
          <w:color w:val="000000"/>
          <w:sz w:val="13"/>
          <w:szCs w:val="13"/>
        </w:rPr>
        <w:t>, </w:t>
      </w:r>
      <w:r>
        <w:rPr>
          <w:rFonts w:ascii="Tahoma" w:hAnsi="Tahoma" w:cs="Tahoma"/>
          <w:color w:val="000000"/>
          <w:sz w:val="13"/>
          <w:szCs w:val="13"/>
        </w:rPr>
        <w:t>для молодежи – 23,</w:t>
      </w:r>
      <w:r>
        <w:rPr>
          <w:rStyle w:val="a5"/>
          <w:rFonts w:ascii="Tahoma" w:hAnsi="Tahoma" w:cs="Tahoma"/>
          <w:color w:val="000000"/>
          <w:sz w:val="13"/>
          <w:szCs w:val="13"/>
        </w:rPr>
        <w:t> </w:t>
      </w:r>
      <w:r>
        <w:rPr>
          <w:rFonts w:ascii="Tahoma" w:hAnsi="Tahoma" w:cs="Tahoma"/>
          <w:color w:val="000000"/>
          <w:sz w:val="13"/>
          <w:szCs w:val="13"/>
        </w:rPr>
        <w:t>с числом участников – 220</w:t>
      </w:r>
      <w:r>
        <w:rPr>
          <w:rStyle w:val="a5"/>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В том числе в сельской местности всего – 106</w:t>
      </w:r>
      <w:r>
        <w:rPr>
          <w:rStyle w:val="a5"/>
          <w:rFonts w:ascii="Tahoma" w:hAnsi="Tahoma" w:cs="Tahoma"/>
          <w:color w:val="000000"/>
          <w:sz w:val="13"/>
          <w:szCs w:val="13"/>
        </w:rPr>
        <w:t> </w:t>
      </w:r>
      <w:r>
        <w:rPr>
          <w:rFonts w:ascii="Tahoma" w:hAnsi="Tahoma" w:cs="Tahoma"/>
          <w:color w:val="000000"/>
          <w:sz w:val="13"/>
          <w:szCs w:val="13"/>
        </w:rPr>
        <w:t>формирований, с числом участников – 868, </w:t>
      </w:r>
      <w:r>
        <w:rPr>
          <w:rStyle w:val="a5"/>
          <w:rFonts w:ascii="Tahoma" w:hAnsi="Tahoma" w:cs="Tahoma"/>
          <w:color w:val="000000"/>
          <w:sz w:val="13"/>
          <w:szCs w:val="13"/>
        </w:rPr>
        <w:t> </w:t>
      </w:r>
      <w:r>
        <w:rPr>
          <w:rFonts w:ascii="Tahoma" w:hAnsi="Tahoma" w:cs="Tahoma"/>
          <w:color w:val="000000"/>
          <w:sz w:val="13"/>
          <w:szCs w:val="13"/>
        </w:rPr>
        <w:t>из них для детей –54</w:t>
      </w:r>
      <w:r>
        <w:rPr>
          <w:rStyle w:val="a5"/>
          <w:rFonts w:ascii="Tahoma" w:hAnsi="Tahoma" w:cs="Tahoma"/>
          <w:color w:val="000000"/>
          <w:sz w:val="13"/>
          <w:szCs w:val="13"/>
        </w:rPr>
        <w:t>,  </w:t>
      </w:r>
      <w:r>
        <w:rPr>
          <w:rFonts w:ascii="Tahoma" w:hAnsi="Tahoma" w:cs="Tahoma"/>
          <w:color w:val="000000"/>
          <w:sz w:val="13"/>
          <w:szCs w:val="13"/>
        </w:rPr>
        <w:t>с числом участников – 422,  для молодежи – 16, </w:t>
      </w:r>
      <w:r>
        <w:rPr>
          <w:rStyle w:val="a5"/>
          <w:rFonts w:ascii="Tahoma" w:hAnsi="Tahoma" w:cs="Tahoma"/>
          <w:color w:val="000000"/>
          <w:sz w:val="13"/>
          <w:szCs w:val="13"/>
        </w:rPr>
        <w:t> </w:t>
      </w:r>
      <w:r>
        <w:rPr>
          <w:rFonts w:ascii="Tahoma" w:hAnsi="Tahoma" w:cs="Tahoma"/>
          <w:color w:val="000000"/>
          <w:sz w:val="13"/>
          <w:szCs w:val="13"/>
        </w:rPr>
        <w:t>с числом участников – 159</w:t>
      </w:r>
      <w:r>
        <w:rPr>
          <w:rStyle w:val="a5"/>
          <w:rFonts w:ascii="Tahoma" w:hAnsi="Tahoma" w:cs="Tahoma"/>
          <w:color w:val="000000"/>
          <w:sz w:val="13"/>
          <w:szCs w:val="13"/>
        </w:rPr>
        <w:t>.</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Число формирований самодеятельного художественного творчества – 112 (78,32 % от общего числа формирований), с числом  участников – 894  человек (66,76%) .   В том числе, формирований для детей – 62, с числом участников – 523,  молодежных –14 с числом участников – 129  человек.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сельской местности  на 2020 год – всего  83  формирования (78,3 % от общего числа формирований)  самодеятельного художественного творчества с числом участников – 624  человека  (71,9%).  В том числе детских  –  51, с числом участников – 388  человек, молодежных –7  формирований, с числом участников – 68  человек.</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2020 году  в районе созданы 4 клубных формирования в двух учреждениях с числом участников 36 человек: в Котовском ЦСДК – детский клуб выходного дня «Егоза» с числом  участников 10 человек, и кружок декоративно-прикладного творчества «Творцы-молодцы» - 7 человек; в Ярыгинском ЦСДК – детский кружок художественного чтения, с числом участников 6 человек и  детский вокальный кружок, с числом участников 10 человек.</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Бобрышевском ЦСДК увеличилось число участников клубных формирований на 12 человек.</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3 коллектива самодеятельного любительского творчества имеют звание «народный коллектив любительского художественного творчества» с числом участников – 44  человека. 1 коллектив – детский,  имеет звание «образцовый коллектив любительского художественного творчества». Это детский хореографический коллектив «Веселые горошины» (МКУК «ДК пос. Кировский» - 23 участника).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сельских домах культуры созданы и действуют детские коллективы художественной самодеятельности: вокальные ансамбли, «Русские узоры» и «Волшебники» (ДК п. Кировский), «Звонкие голоса» (Бобрышевский ЦСДК), </w:t>
      </w:r>
      <w:r>
        <w:rPr>
          <w:rStyle w:val="a5"/>
          <w:rFonts w:ascii="Tahoma" w:hAnsi="Tahoma" w:cs="Tahoma"/>
          <w:color w:val="000000"/>
          <w:sz w:val="13"/>
          <w:szCs w:val="13"/>
        </w:rPr>
        <w:t> </w:t>
      </w:r>
      <w:r>
        <w:rPr>
          <w:rFonts w:ascii="Tahoma" w:hAnsi="Tahoma" w:cs="Tahoma"/>
          <w:color w:val="000000"/>
          <w:sz w:val="13"/>
          <w:szCs w:val="13"/>
        </w:rPr>
        <w:t> хореографические коллективы «Никита» (Нагольненский СДК), «Солнышко» (Бобрышевский и Черновецкий ЦСДК), «Бусины» (Ярыгинский ЦСДК);</w:t>
      </w:r>
      <w:r>
        <w:rPr>
          <w:rStyle w:val="a5"/>
          <w:rFonts w:ascii="Tahoma" w:hAnsi="Tahoma" w:cs="Tahoma"/>
          <w:color w:val="000000"/>
          <w:sz w:val="13"/>
          <w:szCs w:val="13"/>
        </w:rPr>
        <w:t> </w:t>
      </w:r>
      <w:r>
        <w:rPr>
          <w:rFonts w:ascii="Tahoma" w:hAnsi="Tahoma" w:cs="Tahoma"/>
          <w:color w:val="000000"/>
          <w:sz w:val="13"/>
          <w:szCs w:val="13"/>
        </w:rPr>
        <w:t>театральные «Теремок» (РДК), «Мим» (Бобрышевский ЦСДК), фольклорные «Феклушка» (Котовский ЦСДК), «Голубка» (Сазановский ЦСДК) и другие.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Работают детские спортивно-развлекательные и спортивно-оздоровительные клубные формирования: спортивный кружок «Игромания» (Котовский ЦСДК), клуб «Белая ладья» (Прилепский СДК), кружок настольного тенниса «Юный теннисист» (Пселецкий ЦСДК,  Ярыгинский ЦСДК), спортивные клубы «Атлант» (РДК) и «Веселый мяч» (Пселецкий ЦСДК).</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Специализированной работы с трудными подростками в клубных учреждениях  не предусмотрено, в то же время, посещение мероприятий и занятий в клубных формированиях  бесплатное и не ограничено для определенных категорий.  В кукольном кружке «Колокольчик» (Ильинский ЦСДК – руководитель Плугаторёва М.Э.) занимаются дети коррекционного класса. В Котовском ЦСДК  действуют 5 детских кружков художественной самодеятельности (кукольный, спортивный, фольклорный, вокальный, кружок художественного чтения), в них вместе с обычными детьми занимаются дети из многодетных и неблагополучных семей, дети с ограниченными возможностями.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Руководители клубных формирований хорошо знают своих воспитанников, они поддерживают тесную связь со школами, внешкольными учреждениями, родителями. И возникающие проблемы в воспитании при необходимости решаются совместными усилиями.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Самодеятельные коллективы клубных учреждений района активно принимают  участие в районных, областных, международных и Всероссийских фестивалях, конкурсах, акциях, выставках на которых достигали высоких результатов.</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феврале был  проведен  очередной ежегодный шестой районный конкурс-фестиваль солдатской песни «Виктория» и конкурс  художественного чтения «От героев былых времен».  В конкурсе-фестивале приняли участие  72 конкурсанта.   Победители конкурса  приняли участие в районном торжественно-праздничном мероприятии «Наша  память и боль», посвященном Дню памяти воинов, исполнявших служебный долг за пределами Отечества.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областном конкурсе  хоровых коллективов и вокальных ансамблей сельских учреждений культуры «Курские зори» - </w:t>
      </w:r>
      <w:r>
        <w:rPr>
          <w:rStyle w:val="a4"/>
          <w:rFonts w:ascii="Tahoma" w:hAnsi="Tahoma" w:cs="Tahoma"/>
          <w:color w:val="000000"/>
          <w:sz w:val="13"/>
          <w:szCs w:val="13"/>
        </w:rPr>
        <w:t> </w:t>
      </w:r>
      <w:r>
        <w:rPr>
          <w:rFonts w:ascii="Tahoma" w:hAnsi="Tahoma" w:cs="Tahoma"/>
          <w:color w:val="000000"/>
          <w:sz w:val="13"/>
          <w:szCs w:val="13"/>
        </w:rPr>
        <w:t>приняли участие:</w:t>
      </w:r>
      <w:r>
        <w:rPr>
          <w:rStyle w:val="a4"/>
          <w:rFonts w:ascii="Tahoma" w:hAnsi="Tahoma" w:cs="Tahoma"/>
          <w:color w:val="000000"/>
          <w:sz w:val="13"/>
          <w:szCs w:val="13"/>
        </w:rPr>
        <w:t> </w:t>
      </w:r>
      <w:r>
        <w:rPr>
          <w:rFonts w:ascii="Tahoma" w:hAnsi="Tahoma" w:cs="Tahoma"/>
          <w:color w:val="000000"/>
          <w:sz w:val="13"/>
          <w:szCs w:val="13"/>
        </w:rPr>
        <w:t>вокальный  ансамбль «Рябинушка» (МКУК «ДК п. Кировский») и  вокальный ансамбль «Лужаночка» (МКУК «Луговской ЦСДК»). Коллективы награждены дипломами 2-й степени.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Коллективы ДК п. Кировский (хореографический коллектив «Веселые горошины», детский вокальный ансабль «Волшебники», вокальный ансамбль «Рябинушка», трио «Гармония») и участник кружка художественного слова и детского театрального кружка «Теремок» МКУК «Пристенский РДК»  Никита Пеньков приняли участие в Международных и Всероссийский конкурсах и фестивалях.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Всего в 24 Международных и  Всероссийских конкурсах, фестивалях  приняли участие  99  участников (конкурсантов).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течение года, проводя работу по различным направлениям культурно-досуговой деятельности, клубные работники не забывали о воспитательных функциях проводимых мероприятий.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b/>
          <w:bCs/>
          <w:color w:val="000000"/>
          <w:sz w:val="13"/>
          <w:szCs w:val="13"/>
        </w:rPr>
        <w:t>        </w:t>
      </w:r>
      <w:r>
        <w:rPr>
          <w:rFonts w:ascii="Tahoma" w:hAnsi="Tahoma" w:cs="Tahoma"/>
          <w:color w:val="000000"/>
          <w:sz w:val="13"/>
          <w:szCs w:val="13"/>
        </w:rPr>
        <w:t>За 2020 год учреждениями культуры всего было проведено 1585  мероприятий, в том числе для детей – 565  мероприятия, для молодежи – 616  мероприятий.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 них в сельской местности проведено всего  - 1355, в т.ч. для детей – 501 мероприятие, для молодежи – 564.</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Число посещений составило – 34538   человек, из них детей – 9569  человек, молодежи- 12894  человек.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том числе в сельской местности всего – 21386  человек, детей – 6831 человек, молодежи – 9823 человек.</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Используя опыт работы в условиях самоизоляции и «удаленки», многие учреждения культуры продолжали работу по проведению мероприятий в режиме онлайн.   С учетом  методических рекомендаций ОДНТ по проведению мероприятий с малым числом участников, многие учреждения дублировали свои мероприятия, показывая  их в соц. сетях.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Учреждения культуры района принимали участие в двух областных культурно-творческих акциях («Мир, который мы творим!» и «Здоровая молодежь – здоровая Россия») и областном фестивале тематических программ «К здоровью наперегонки».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этих мероприятий велась работа по следующим направлениям: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мероприятия по тематике года (Год Памяти и Славы, мероприятия по героико-</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патриотическому воспитанию;  Год здоровья, мероприятия по профилактике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наркомании и пропаганде здорового образа жизни);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мероприятия по формированию толерантного сознания, противодействия идеологии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терроризма и экстремизма;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мероприятия по возрождению и сохранению традиционной народной культуры.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Учреждениями культуры ведется постоянная работа по героико-патриотическому, гражданскому воспитанию.</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тематического года Памяти и Славы </w:t>
      </w:r>
      <w:r>
        <w:rPr>
          <w:rStyle w:val="a5"/>
          <w:rFonts w:ascii="Tahoma" w:hAnsi="Tahoma" w:cs="Tahoma"/>
          <w:b/>
          <w:bCs/>
          <w:color w:val="000000"/>
          <w:sz w:val="13"/>
          <w:szCs w:val="13"/>
        </w:rPr>
        <w:t> </w:t>
      </w:r>
      <w:r>
        <w:rPr>
          <w:rFonts w:ascii="Tahoma" w:hAnsi="Tahoma" w:cs="Tahoma"/>
          <w:color w:val="000000"/>
          <w:sz w:val="13"/>
          <w:szCs w:val="13"/>
        </w:rPr>
        <w:t>проводились мероприятия, посвященные событиям ВОВ. Прошли  мероприятия   к  Дню освобождения района от немецко-фашистских войск (познавательную программу «Наш вклад в Великую Победу» - о военных действиях Кривцовского партизанского отряда на территории Пристенского района  провели для детей работники Черновецкого ЦСДК); в рамках областной военно-патриотической акции «Блокадный хлеб» в учреждениях  культуры района проводились  мероприятия, посвященные снятию блокады  Ленинграда;  события Сталинградской битвы осветили в своих мероприятиях Ильинский ЦСДК - час истории «Это нашей истории строки», В-Ольшанский ДК – час патриотизма «Сталинград. 200 дней и ночей мужества и стойкости»; к Дню юного антифашиста были проведены час мужества «Детство, опаленное войной» (В-Ольшанский ДК) и урок мужества «Юные безусые герои» ( Бобрышевский  ЦСДК), на которых прозвучали рассказы о подвигах и судьбах юных героев войны.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День Победы – главный праздник нашей страны. Праздник, которого так ждали и планировали отметить с большим размахом,  День Победы в условиях карантина прошел не менее торжественно. Учреждения культуры приняли участие в акции «Бессмертный полк»;  на фасадных окнах Домов культуры были созданы  «Окна Победы» («Окна Памяти»).    Проведены онлайн-выставки  и конкурсы рисунков; конкурсы стихотворений, «Урок славы» (В-Ольшанский  ДК – 321 просмотр); акции «Скажем спасибо» (203 просмотра) и  «Георгиевская лента. Мы помним!» (143 просмотра)  (МКУК «Бобрышевский ЦСДК»)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22 августа на центральной площади поселка Пристень прошла акция</w:t>
      </w:r>
      <w:r>
        <w:rPr>
          <w:rFonts w:ascii="Tahoma" w:hAnsi="Tahoma" w:cs="Tahoma"/>
          <w:color w:val="000000"/>
          <w:sz w:val="13"/>
          <w:szCs w:val="13"/>
        </w:rPr>
        <w:br/>
        <w:t>«75 тысяч шагов к Победе», в рамках празднования в нашей стране Года памяти и славы, а также объявленного в нашем регионе Года здоровья.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 ноября в селе Бобрышево прошло перезахоронение останков бойцов Советской Армии, погибших в годы Великой Отечественной войны.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Учреждения культуры все чаще обращаются к теме Афганской войны, к теме локальных конфликтов. Проведены вечера памяти воинам, погибшим в Афганистане и Чечне: «И будут жить в веках» (Бобрышевский ЦСДК), урок мужества «Время выбрало нас» (Пристенский ЦСДК); круглые столы, вечера встречи с воинами-афганцами, участниками боевых действий в Чечне.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подвиге воинов-десантников 6 парашютно-десантной роты 104 гвардейского парашютно-десантного полка 76 гвардейской воздушно-десантной дивизии» под Улус-Кертом в Чеченской Республике молодежи, подросткам и детям работники культуры рассказали на своих мероприятиях: вечерах и днях памяти;  уроках, часах мужества и памяти; кинолекториях и видео-презентациях; литературно-концертных программах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Проведены мероприятия  к  Дню защиты детей, к Дню России, Дню Флага, к  Дню народного единства.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Проблемы правового воспитания были затронуты учреждениями культуры в таких мероприятиях как: викторина «Школа светофории» (Бобрышевский ЦСДК),  профилактическая беседа «Соблюдайте правила дорожного движения» (В-Ольшанский ДК) (по правилам дорожного движения);  по нормам поведения беседу «Этика поведения в общественных местах» провели работники Сазановского  ЦСДК; викторину «Закон и порядок»  об ответственности за поступки, которые наносят вред не только окружающим, но и себе –  работники ДК п. Кировский.    В режиме  онлайн  ДК п. Кировский провел урок правовой грамотности «Уголовная ответственность несовершеннолетних».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правовому воспитанию можно отнести и работу по формированию в обществе толерантного сознания, негативного отношения к терроризму и экстремизму, т.к. действия, связанные с терроризмом, разжиганием межнациональной вражды, подрыва государственных устоев считаются противоправными и преследуются законом.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Работниками учреждений культуры проводятся мероприятия по этой тематике (МКУК «ДК п. Кировский» совместно с библиотекой  была проведена беседа «Террор – угроза человечеству»; круглый стол «Наш мир без террора» проведен в  Бобрышевском ЦСДК; информационный час «Терроризм и экстремизм»  - в Пристенском ЦСДК и другие).   Повсеместно были проведены  мероприятия, посвященные трагедии в Беслане (в  том числе: урок памяти  «Мы против террора» - Ярыгинский ЦСДК, «Беслан – наша память и боль» - Луговской ЦСДК, урок мира «Дети против террора» - Нагольненский СДК  и другие).  К Дню толерантности проведены викторина  «День толерантности» (Нагольненский СДК), диспут «Что такое толерантность» (Еринский СК),  аналитический час «Действия при обнаружении подозрительного предмета» (Ильинский  ЦСДК) и другие. В режиме  онлайн   Ярыгинский ЦСДК разместил в соц. сетях информацию «Окна толерантности» (448 просмотра).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Дню мира прошли творческие мероприятия: конкурс рисунков «Планета Мира» (Ильинский ЦСДК), онлайн выставка «Миру – Мир!» (Черновецкий ЦСДК – 53 просмотра), спортивное соревнование «Международный день мира» (Колбасовский ЦСДК).</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Проводя работу по развитию и популяризации традиционной народной культуры нашего региона и регионов России, учреждениями культуры района проводились мероприятия по возрождению и популяризации традиционной народной культуры, фольклора, устного народного творчества, игровые программы, посвященные традициям, быту.</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19 августа 2020 года в с. Красниково Пристенского района состоялась торжественная церемония запуска работы памятника деревянного зодчества «Водяная мельница» после реставрации. Единственный сохраненный в своем роде памятник деревянного зодчества. Это сооружение ведёт свою историю с первой половины 18 века.  Почти за три столетия сменялись хозяева, менялся облик всей страны, но сама мельница оказалась не подвластна времени, сохранилась в своём первозданном виде и сегодня.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Ведется работа по пропаганде здорового образа жизни и профилактике наркомании.  В рамках областного фестиваля тематических программ «Здоровая молодежь – здоровая Россия» и областного марафона эстафеты интересных дел «К здоровью наперегонки»  только в 2020 году проведено 152 антинаркотических и спортивно-оздоровительных мероприятия, в том числе в режиме on-line – 30 мероприятий с числом просмотров – 11804, проведено на сценических площадках и в аудиториях 122 антинаркотических мероприятия с числом посетителей – 1915 человек, в том числе детей – 622, молодежи – 581 человек. Проведено 11 анкетирований с числом опрошенных – 112 человек.</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Среди прочих, проведены такие мероприятия как:  тематическая беседа «Коварные разрушители здоровья» (МКУК «Ильинский ЦСДК»), антинаркотическая акция «Зловещая тень над миром» (МКУК «Луговской ЦСДК»), анкетирование «Белая смерть» (МКУК «Ракитинский СДК») и другие.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Солнцевским межмуниципальным филиалом  ФКУ УИИ УФСИН России по Курской области (на территории Пристенского района):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   2020 год  на учете  Солнцевского МФ ФКУ УИИ УФСИН России по Курской области ( на территории Пристенского района)  состояло 129 (АППГ- 149) осужденных без изоляции от общества.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Задачей уголовно-исполнительной инспекции является предупреждение преступлений и иных правонарушений лицами, осужденными к наказаниям и мерам уголовно-правового характера, не  связанными с лишением свободы,  состоящими на учете инспекции. С этой целью нарушителям порядка и условий отбытия наказания сотрудниками филиала выносятся предупреждения о недопустимости нарушений,  в суды Пристенского района направляются представления о привлечении нарушителей к ответственности - продлении испытательного срока, дополнения ранее установленных обязанностей и ограничений  новыми, отмены и замены наказания на лишение свободы. За 2020 год выявлено 33 нарушителя порядка и условий отбывания наказания, в суды Пристенского района направлено 36 представлений. В отношении 12 осужденных по представлению УИИ  произведена заменена наказания на лишение свободы  12,37% (АППГ- 17 осужденных –15,32%)  от числа прошедших по учетам.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В отношении условно осужденных продлен испытательный срок 3 осужденным - 11,54% (АППГ – 16,67%)), дополнены ранее установленные обязанности новыми – 5 19,23% (АППГ – 10,00 %). Уровень установления осужденным к ограничению свободы дополнительных ограничений составил 40 % (АППГ –25 %).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Сотрудниками Солнцевского МФ  ФКУ УИИ УФСИН России по Курской области совместно  со службой  участковых  уполномоченных  полиции  ОтдМВД  России  по Пристенскому району и ПДН ОтдМВД осуществлялись  проверки осужденных по месту жительства, учебы и работы, в общественных местах с целью своевременного выявления нарушителей и принятия к ним мер профилактического воздействия. За период 2020 года проведено  - 37 совместных мероприятия, в ходе которых проверено 100 % состоящих на учете УИИ, выявлено  16 нарушителей порядка и условий отбывания наказания. В суды Пристенского района по итогам рейдов направлено 12 представлений.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Ежеквартально Солнцевским МФ ФКУ УИИ УФСИН России по Курской области в отношении  всех категорий осужденных в ОтдМВД России по Пристенскому району направляются списки состоящих на учете.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выявления лиц, склонных к совершению правонарушений из числа условно осужденных и индивидуального прогнозирования их поведения,  в УИИ применяется методика «Портрет». Инспекцией ежемесячно проводится анализ состава осужденных с целью определения круга лиц, относящихся к «Группе риска» (неоднократно судимые,  нарушители порядка и условий отбывания наказания, несовершеннолетние осужденные, осужденные за преступления против половой неприкосновенности и половой свободы личности). По итогам анализа формируется список лиц,  состоящих на особом контроле УИИ, указанный список направляется в ОМВД ежемесячно.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получения наиболее полной информации  инспекцией проводятся специальные проверки осужденных, в том числе по учетам ОВД, ИЦ УВД, запрашиваются характеристики с места работы, учебы и жительства лиц, состоящих на учете УИИ.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Контроль за исполнением обязанностей и ограничений, возложенных судом,  осуществляется инспекцией с использованием средств Системы электронного мониторинга подучетных лиц, средств связи,  направления запросов и  посещения организации.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отношении  осужденных, имеющих возложенные судом обязанности и ограничения, УИИ информирует организации по месту работы или учебы, о возложенной обязанности пройти курс лечения -  учреждения здравоохранения.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целях оказания социальной помощи лицам, попавшим в трудную жизненную ситуацию,  инспекцией направляются информации в соответствующие структуры. При постановке на учет  лицам, не имеющим места работы, выдается направление в центр занятости  по Пристенскому району для решения вопроса  трудоустройства. За 2020 год  уголовно - исполнительной инспекцией оказана помощь (выданы направления в ЦЗН) в трудоустройстве 36 осужденным. В получении утраченных документов  оказана помощь 2 осужденным, в получении зарплатной карты в банке - 1.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Принимаемые меры привели к снижению уровня повторной преступности среди осужденных, состоящих на учете инспекции  по сравнению с 2019 годом, так, </w:t>
      </w:r>
      <w:r>
        <w:rPr>
          <w:rStyle w:val="a4"/>
          <w:rFonts w:ascii="Tahoma" w:hAnsi="Tahoma" w:cs="Tahoma"/>
          <w:color w:val="000000"/>
          <w:sz w:val="13"/>
          <w:szCs w:val="13"/>
        </w:rPr>
        <w:t> </w:t>
      </w:r>
      <w:r>
        <w:rPr>
          <w:rFonts w:ascii="Tahoma" w:hAnsi="Tahoma" w:cs="Tahoma"/>
          <w:color w:val="000000"/>
          <w:sz w:val="13"/>
          <w:szCs w:val="13"/>
        </w:rPr>
        <w:t>за 2020 год совершено три повторных  преступления, что составляет  2,33% от прошедших по учетам УИИ ( АППГ- 4 осужденных  или 2,68%).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0F13B9" w:rsidRDefault="000F13B9" w:rsidP="000F13B9">
      <w:pPr>
        <w:widowControl/>
        <w:numPr>
          <w:ilvl w:val="0"/>
          <w:numId w:val="17"/>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4.     Отд.МВД России по Пристенскому району: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целях реализации целей и задач определенных Муниципальной программой «Профилактика правонарушений в Пристенском районе Курской области на 2020-2022 годы» в 2020 году сотрудниками Отд МВД России по Пристенскому району проводились мероприятия направленные на профилактику правонарушений на территории Пристенского района.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результате данной работы оперативная обстановка характеризовалась в текущем году  колебанием числа зарегистрированных преступлений, по итогам 12 месяцев 2020 года этот показатель составил 181 преступлений с   динамикой +6,5%. Как показывает анализ, за последние 5 лет рост преступности отмечался с 2017 г. по 2018 год, снижение отмечается с 2017 по 2018 и 2019 – 2020 году.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общей структуре преступности основную массу составляют кражи, количество которых в отчетном периоде снизилось с 59 до 57, с 47 до 32 снизилось количество расследованных краж, среднеобластная динамика -0,7%.</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состояния работы по профилактике и пресечению преступлений и других противоправных действий, совершаемых в состоянии алкогольного опьянения, а также совершаемых в общественных местах по итогам  за 12 месяцев 2020 года, показал, что имеются определенные показатели в профилактических направлениях служебной деятельности.   Так в анализируемом периоде 2020 года  снижение совершенных преступлений, совершенных лицами в состоянии алкогольного опьянения с 70 в 2019 году до 53 в 2020 году. Динамика данной категории преступлений -24,3%.  Удельный вес данных преступлений составил 40,2% (АППГ – 44,6%).  Таким образом, благодаря эффективности проводимых в 2020 году профилактических мероприятий, удалось снизить число данного вида преступлений.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допущен рост зарегистрированных преступлений совершенных лицами,  ранее совершавшими преступления с 103 до 76. Динамика составила  -26,2% снижения.</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же не допущен рост зарегистрированных преступлений, совершенных лицами, ранее судимыми за совершение преступлений ( Снижение с 62 до 46). Динамика данного вида преступлений -25,8%.</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того в анализируемом периоде  не допущен рост преступлений совершенных в общественных местах (снижение с 36 до 18), динамика составила -50,0%. При этом  количество тпреступлений, совершенных на улицах преступлений также снизилось с 29 до 15 преступлений, динамика составляет -48,3%.</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2020 год на территории Пристенского района Курской области произошло снижение преступлений, совершенных  несовершеннолетними с 18 до 7 преступлений (динамика снижения составила – 64,1 %):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с 13 до 7 снизилось количество несовершеннолетних, принявших участие в совершении преступлений. Динамика снижения составила – 46,2 %.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Удельный вес подростковой преступности по сравнению с АППГ также снизился с  12,2 %  до 5,3 %.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11 до 4 снизилось количество преступлений совершенных несовершеннолетними в составе группы. С 8 до 1 снизилось количество  тяжких и особо тяжких преступлений. С 14 до 2 снизилось количество совершенных преступлений в общественных местах. Не допущено совершение преступлений несовершеннолетними в ночное время и в состоянии алкогольного опьянения (АППГ-5),</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анализируемый период в совершении преступления принял участия 7 несовершеннолетних (АППГ-13), из которых 6 являются местным жителями (АППГ-13). Из числа несовершеннолетних, принявших участие в совершении преступлений, 2 является студентами среднего профессионального учебного заведения (АППГ-3), один работающий (АППГ-1), четыре учащихся общеобразовательных школ (АППГ – 10). Три несовершеннолетних из числа совершивших преступления, проживал в неполной семье (АППГ-5).</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u w:val="single"/>
        </w:rPr>
        <w:t>Из числа совершенных несовершеннолетними преступлений 3 совершенно на территории Нагольненского сельсовета (АППГ-0), по одному на территории Бобрышевского сельсовета (АППГ- 0), Пристенского сельсовета (АППГ-0), п. Пристень (АППГ – 16), Котовского сельсовета (АППГ-0).</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нейтрализации криминогенных процессов в подростковой среде во взаимодействии с другими заинтересованными ведомствами, входящими в систему профилактики безнадзорности и правонарушений несовершеннолетних, осуществлялся комплекс организационно - практических мер, направленных на предупреждение  правонарушений и преступлений среди  несовершеннолетних. В ходе проводимых мероприятий в отношении несовершеннолетних составлено 25  протоколов об административных правонарушениях (АППГ- 8):</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6.24 КоАП РФ (курение в общественном месте) – 2 (АППГ - 0 );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6.1.1 КоАП РФ (побои) – 5 (АППГ- 0);</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7.17  КоАП РФ (повреждение чужого имущества) – 2 (АППГ- 0);</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19.3 ч. 1 (неповиновение законным требованиям сотрудника полиции) – 0 (АППГ-1);</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20.1 (мелкое хулиганство) – 1 (АППГ – 3);</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20.6.1 КоАП РФ – 11 (АППГ-0);</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20.20 КоАП РФ (распитие спиртных напитков в общественных местах) – 4 (АППГ- 2)</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 20.21 КоАП РФ (нахождение в состоянии алкогольного опьянения общественном месте) – 0 (АППГ-2).</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отношении родителей составлено 92 протокола об административных правонарушениях (АППГ- 89), в том числе: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ст. 5.35 ч. 1 КоАП РФ (не исполнение обязанностей по воспитанию детей) - 79 (АППГ- 61);</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ст. 20.22 КоАП РФ (распитие спиртных напитков несовершеннолетними  в возрасте до 16 лет)– 1 (АППГ –4);</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по ст. 46 ЗКО (нахождение несовершеннолетних  в возрасте до 16 лет в ночное время в общественных местах) – 11 (АППГ – 24).</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проводимых мероприятий выявлено 2 административных правонарушения, предусмотренных ст. 6.10 КоАП РФ (вовлечение несовершеннолетних в распитие спиртных напитков) (АППГ – 5). В отношении двух лиц составлены протоколы об административном правонарушении по ст. 6.23 КоАП РФ (АППГ- 1). Выявлено одно административное правонарушение, предусмотренное ст. 14.16 ч. 2.1 КоАП РФ (АППГ-0).</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В целях не допущения роста преступлений совершенных лицами в состоянии алкогольного опьянения, совершаемых в общественных местах (на улицах),  продолжить совместное с ДНД проведение профилактических мероприятий, в том числе в вечернее время, в целях  выявления и пресечения административных правонарушений,  предусмотренных ст. ст. 20.20 – 20.21 КоАП РФ, с последующим направлением для рассмотрения задокументированных материалов в суды.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целях профилактики преступлений совершаемых несовершеннолетними, продолжить мероприятия направленные на выявление и пресечение преступлений превентивной направленности, в том числе в несовершеннолетней среде.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Реализовать предусмотренные Муниципальной программой профилактики правонарушений, задачи и средства на развитие подсистемы АПК «Безопасный город».</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рамках  основного мероприятия  «Усиление антитеррористической защищенности административных зданий, объектов образования, здравоохранения, культуры, спорта и объектов с массовым пребыванием граждан» проведена следующая работа: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w:t>
      </w:r>
      <w:r>
        <w:rPr>
          <w:rFonts w:ascii="Tahoma" w:hAnsi="Tahoma" w:cs="Tahoma"/>
          <w:color w:val="000000"/>
          <w:sz w:val="13"/>
          <w:szCs w:val="13"/>
        </w:rPr>
        <w:t> - в сентябре 2020 года в образовательных организациях прошли «Уроки Мира», классные часы, посвященные государственной символике;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сентябре 2020 года ко Дню солидарности в борьбе с терроризмом были проведены мероприятия «Трагедия Беслана в наших сердцах»;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уроки права «Конституция РФ о межэтнических отношениях», «Конституция РФ-гарант прав и свобод человека и гражданина»;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международного Дня толерантности классные часы «Мы разные, но мы вместе!»;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консультации для родителей «Формирование толерантного поведения в семье»;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мероприятия ко Дню народного единства;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б) -</w:t>
      </w:r>
      <w:r>
        <w:rPr>
          <w:rFonts w:ascii="Tahoma" w:hAnsi="Tahoma" w:cs="Tahoma"/>
          <w:color w:val="000000"/>
          <w:sz w:val="13"/>
          <w:szCs w:val="13"/>
        </w:rPr>
        <w:t> проведены инструктажи по обеспечению безопасности. Антитеррористической защищенности обучающихся в условиях повседневной деятельности;</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беседы с обучающимися школ «Как вызвать полицию».</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w:t>
      </w:r>
      <w:r>
        <w:rPr>
          <w:rFonts w:ascii="Tahoma" w:hAnsi="Tahoma" w:cs="Tahoma"/>
          <w:color w:val="000000"/>
          <w:sz w:val="13"/>
          <w:szCs w:val="13"/>
        </w:rPr>
        <w:t> - сотрудниками полиции проведено 97 оперативно-профилактических мероприятий по выявлению нарушений миграционного законодательства (АППГ- 116,-16%). </w:t>
      </w:r>
      <w:r>
        <w:rPr>
          <w:rStyle w:val="a5"/>
          <w:rFonts w:ascii="Tahoma" w:hAnsi="Tahoma" w:cs="Tahoma"/>
          <w:b/>
          <w:bCs/>
          <w:color w:val="000000"/>
          <w:sz w:val="13"/>
          <w:szCs w:val="13"/>
        </w:rPr>
        <w:t>  </w:t>
      </w:r>
      <w:r>
        <w:rPr>
          <w:rFonts w:ascii="Tahoma" w:hAnsi="Tahoma" w:cs="Tahoma"/>
          <w:color w:val="000000"/>
          <w:sz w:val="13"/>
          <w:szCs w:val="13"/>
        </w:rPr>
        <w:t>Установлено, что в ведомственном реестре Управления Министерства юстиции Российской Федерации по Курской области общественных организаций, сформированных по национальному признаку на территории Пристенского района не зарегистрировано, однако Пристенский район является местом компактного проживания группы лиц, выходцев из Чеченской республики, состоящей из 24 человек, живут разрозненно, лидера не имеют. Кроме того, район является местом компактного проживания выходцев из Р.Армении, Азербайджан.</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2020 году  рабочие встречи по вопросу межнациональных отношений, складывающихся на территории обслуживания с представителями диаспор не проводились</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Оценка эффективности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Оценка эффективности реализации муниципальной программы выполнена в два этапа. На первом этапе осуществлена оценка эффективности реализации подпрограмм, которая определена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втором этапе осуществлена оценка эффективности реализации муниципальной программы, которая определена с учетом оценки степени достижения целей и решения задач муниципальной программы и оценки эффективности реализации подпрограмм.</w:t>
      </w:r>
    </w:p>
    <w:p w:rsidR="000F13B9" w:rsidRDefault="000F13B9" w:rsidP="000F13B9">
      <w:pPr>
        <w:widowControl/>
        <w:numPr>
          <w:ilvl w:val="0"/>
          <w:numId w:val="18"/>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1.                Степень реализации мероприятий оценена для каждой подпрограммы как доля мероприятий, выполненных в полном объеме, по формуле: СР</w:t>
      </w:r>
      <w:r>
        <w:rPr>
          <w:rStyle w:val="a4"/>
          <w:rFonts w:ascii="Tahoma" w:hAnsi="Tahoma" w:cs="Tahoma"/>
          <w:color w:val="000000"/>
          <w:sz w:val="13"/>
          <w:szCs w:val="13"/>
          <w:vertAlign w:val="subscript"/>
        </w:rPr>
        <w:t>м=</w:t>
      </w:r>
      <w:r>
        <w:rPr>
          <w:rStyle w:val="a4"/>
          <w:rFonts w:ascii="Tahoma" w:hAnsi="Tahoma" w:cs="Tahoma"/>
          <w:color w:val="000000"/>
          <w:sz w:val="13"/>
          <w:szCs w:val="13"/>
        </w:rPr>
        <w:t>М</w:t>
      </w:r>
      <w:r>
        <w:rPr>
          <w:rStyle w:val="a4"/>
          <w:rFonts w:ascii="Tahoma" w:hAnsi="Tahoma" w:cs="Tahoma"/>
          <w:color w:val="000000"/>
          <w:sz w:val="13"/>
          <w:szCs w:val="13"/>
          <w:vertAlign w:val="subscript"/>
        </w:rPr>
        <w:t>в</w:t>
      </w:r>
      <w:r>
        <w:rPr>
          <w:rStyle w:val="a4"/>
          <w:rFonts w:ascii="Tahoma" w:hAnsi="Tahoma" w:cs="Tahoma"/>
          <w:color w:val="000000"/>
          <w:sz w:val="13"/>
          <w:szCs w:val="13"/>
        </w:rPr>
        <w:t>/М  где: СР</w:t>
      </w:r>
      <w:r>
        <w:rPr>
          <w:rStyle w:val="a4"/>
          <w:rFonts w:ascii="Tahoma" w:hAnsi="Tahoma" w:cs="Tahoma"/>
          <w:color w:val="000000"/>
          <w:sz w:val="13"/>
          <w:szCs w:val="13"/>
          <w:vertAlign w:val="subscript"/>
        </w:rPr>
        <w:t>м</w:t>
      </w:r>
      <w:r>
        <w:rPr>
          <w:rStyle w:val="a4"/>
          <w:rFonts w:ascii="Tahoma" w:hAnsi="Tahoma" w:cs="Tahoma"/>
          <w:color w:val="000000"/>
          <w:sz w:val="13"/>
          <w:szCs w:val="13"/>
        </w:rPr>
        <w:t> – степень реализации мероприятий; М</w:t>
      </w:r>
      <w:r>
        <w:rPr>
          <w:rStyle w:val="a4"/>
          <w:rFonts w:ascii="Tahoma" w:hAnsi="Tahoma" w:cs="Tahoma"/>
          <w:color w:val="000000"/>
          <w:sz w:val="13"/>
          <w:szCs w:val="13"/>
          <w:vertAlign w:val="subscript"/>
        </w:rPr>
        <w:t>в</w:t>
      </w:r>
      <w:r>
        <w:rPr>
          <w:rStyle w:val="a4"/>
          <w:rFonts w:ascii="Tahoma" w:hAnsi="Tahoma" w:cs="Tahoma"/>
          <w:color w:val="000000"/>
          <w:sz w:val="13"/>
          <w:szCs w:val="13"/>
        </w:rPr>
        <w:t> – количество мероприятий выполненных в полном объеме, из числа мероприятий, запланированных к реализации в отчетном году; М – общее количество мероприятий запланированных к реализации в отчетном году.</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 </w:t>
      </w:r>
      <w:r>
        <w:rPr>
          <w:rFonts w:ascii="Tahoma" w:hAnsi="Tahoma" w:cs="Tahoma"/>
          <w:color w:val="000000"/>
          <w:sz w:val="13"/>
          <w:szCs w:val="13"/>
        </w:rPr>
        <w:t>1</w:t>
      </w:r>
      <w:r>
        <w:rPr>
          <w:rFonts w:ascii="Tahoma" w:hAnsi="Tahoma" w:cs="Tahoma"/>
          <w:color w:val="000000"/>
          <w:sz w:val="13"/>
          <w:szCs w:val="13"/>
          <w:vertAlign w:val="subscript"/>
        </w:rPr>
        <w:t>пп</w:t>
      </w:r>
      <w:r>
        <w:rPr>
          <w:rFonts w:ascii="Tahoma" w:hAnsi="Tahoma" w:cs="Tahoma"/>
          <w:color w:val="000000"/>
          <w:sz w:val="13"/>
          <w:szCs w:val="13"/>
        </w:rPr>
        <w:t>=1/1=1;   СР</w:t>
      </w:r>
      <w:r>
        <w:rPr>
          <w:rFonts w:ascii="Tahoma" w:hAnsi="Tahoma" w:cs="Tahoma"/>
          <w:color w:val="000000"/>
          <w:sz w:val="13"/>
          <w:szCs w:val="13"/>
          <w:vertAlign w:val="subscript"/>
        </w:rPr>
        <w:t>м </w:t>
      </w:r>
      <w:r>
        <w:rPr>
          <w:rFonts w:ascii="Tahoma" w:hAnsi="Tahoma" w:cs="Tahoma"/>
          <w:color w:val="000000"/>
          <w:sz w:val="13"/>
          <w:szCs w:val="13"/>
        </w:rPr>
        <w:t>2</w:t>
      </w:r>
      <w:r>
        <w:rPr>
          <w:rFonts w:ascii="Tahoma" w:hAnsi="Tahoma" w:cs="Tahoma"/>
          <w:color w:val="000000"/>
          <w:sz w:val="13"/>
          <w:szCs w:val="13"/>
          <w:vertAlign w:val="subscript"/>
        </w:rPr>
        <w:t>пп</w:t>
      </w:r>
      <w:r>
        <w:rPr>
          <w:rFonts w:ascii="Tahoma" w:hAnsi="Tahoma" w:cs="Tahoma"/>
          <w:color w:val="000000"/>
          <w:sz w:val="13"/>
          <w:szCs w:val="13"/>
        </w:rPr>
        <w:t>=61/61=1. СР</w:t>
      </w:r>
      <w:r>
        <w:rPr>
          <w:rFonts w:ascii="Tahoma" w:hAnsi="Tahoma" w:cs="Tahoma"/>
          <w:color w:val="000000"/>
          <w:sz w:val="13"/>
          <w:szCs w:val="13"/>
          <w:vertAlign w:val="subscript"/>
        </w:rPr>
        <w:t>м </w:t>
      </w:r>
      <w:r>
        <w:rPr>
          <w:rFonts w:ascii="Tahoma" w:hAnsi="Tahoma" w:cs="Tahoma"/>
          <w:color w:val="000000"/>
          <w:sz w:val="13"/>
          <w:szCs w:val="13"/>
        </w:rPr>
        <w:t>3</w:t>
      </w:r>
      <w:r>
        <w:rPr>
          <w:rFonts w:ascii="Tahoma" w:hAnsi="Tahoma" w:cs="Tahoma"/>
          <w:color w:val="000000"/>
          <w:sz w:val="13"/>
          <w:szCs w:val="13"/>
          <w:vertAlign w:val="subscript"/>
        </w:rPr>
        <w:t>пп</w:t>
      </w:r>
      <w:r>
        <w:rPr>
          <w:rFonts w:ascii="Tahoma" w:hAnsi="Tahoma" w:cs="Tahoma"/>
          <w:color w:val="000000"/>
          <w:sz w:val="13"/>
          <w:szCs w:val="13"/>
        </w:rPr>
        <w:t>=16/16=1.</w:t>
      </w:r>
    </w:p>
    <w:p w:rsidR="000F13B9" w:rsidRDefault="000F13B9" w:rsidP="000F13B9">
      <w:pPr>
        <w:widowControl/>
        <w:numPr>
          <w:ilvl w:val="0"/>
          <w:numId w:val="19"/>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Степень соответствия запланированному уровню затрат оценена для каждой подпрограммы как отношение фактически произведенных в отчетном году расходов на реализацию подпрограмм к их плановым значениям</w:t>
      </w:r>
      <w:r>
        <w:rPr>
          <w:rFonts w:ascii="Tahoma" w:hAnsi="Tahoma" w:cs="Tahoma"/>
          <w:color w:val="000000"/>
          <w:sz w:val="13"/>
          <w:szCs w:val="13"/>
        </w:rPr>
        <w:t>.</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=З</w:t>
      </w:r>
      <w:r>
        <w:rPr>
          <w:rFonts w:ascii="Tahoma" w:hAnsi="Tahoma" w:cs="Tahoma"/>
          <w:color w:val="000000"/>
          <w:sz w:val="13"/>
          <w:szCs w:val="13"/>
          <w:vertAlign w:val="subscript"/>
        </w:rPr>
        <w:t>ф</w:t>
      </w:r>
      <w:r>
        <w:rPr>
          <w:rFonts w:ascii="Tahoma" w:hAnsi="Tahoma" w:cs="Tahoma"/>
          <w:color w:val="000000"/>
          <w:sz w:val="13"/>
          <w:szCs w:val="13"/>
        </w:rPr>
        <w:t>/З</w:t>
      </w:r>
      <w:r>
        <w:rPr>
          <w:rFonts w:ascii="Tahoma" w:hAnsi="Tahoma" w:cs="Tahoma"/>
          <w:color w:val="000000"/>
          <w:sz w:val="13"/>
          <w:szCs w:val="13"/>
          <w:vertAlign w:val="subscript"/>
        </w:rPr>
        <w:t>п  </w:t>
      </w:r>
      <w:r>
        <w:rPr>
          <w:rFonts w:ascii="Tahoma" w:hAnsi="Tahoma" w:cs="Tahoma"/>
          <w:color w:val="000000"/>
          <w:sz w:val="13"/>
          <w:szCs w:val="13"/>
        </w:rPr>
        <w:t> где СС</w:t>
      </w:r>
      <w:r>
        <w:rPr>
          <w:rFonts w:ascii="Tahoma" w:hAnsi="Tahoma" w:cs="Tahoma"/>
          <w:color w:val="000000"/>
          <w:sz w:val="13"/>
          <w:szCs w:val="13"/>
          <w:vertAlign w:val="subscript"/>
        </w:rPr>
        <w:t>уз</w:t>
      </w:r>
      <w:r>
        <w:rPr>
          <w:rFonts w:ascii="Tahoma" w:hAnsi="Tahoma" w:cs="Tahoma"/>
          <w:color w:val="000000"/>
          <w:sz w:val="13"/>
          <w:szCs w:val="13"/>
        </w:rPr>
        <w:t> – степень запланированному уровню расходов;                      З</w:t>
      </w:r>
      <w:r>
        <w:rPr>
          <w:rFonts w:ascii="Tahoma" w:hAnsi="Tahoma" w:cs="Tahoma"/>
          <w:color w:val="000000"/>
          <w:sz w:val="13"/>
          <w:szCs w:val="13"/>
          <w:vertAlign w:val="subscript"/>
        </w:rPr>
        <w:t>ф</w:t>
      </w:r>
      <w:r>
        <w:rPr>
          <w:rFonts w:ascii="Tahoma" w:hAnsi="Tahoma" w:cs="Tahoma"/>
          <w:color w:val="000000"/>
          <w:sz w:val="13"/>
          <w:szCs w:val="13"/>
        </w:rPr>
        <w:t> – фактические расходы на реализацию подпрограммы в отчетном году;            З</w:t>
      </w:r>
      <w:r>
        <w:rPr>
          <w:rFonts w:ascii="Tahoma" w:hAnsi="Tahoma" w:cs="Tahoma"/>
          <w:color w:val="000000"/>
          <w:sz w:val="13"/>
          <w:szCs w:val="13"/>
          <w:vertAlign w:val="subscript"/>
        </w:rPr>
        <w:t>п</w:t>
      </w:r>
      <w:r>
        <w:rPr>
          <w:rFonts w:ascii="Tahoma" w:hAnsi="Tahoma" w:cs="Tahoma"/>
          <w:color w:val="000000"/>
          <w:sz w:val="13"/>
          <w:szCs w:val="13"/>
        </w:rPr>
        <w:t> – плановые расходы на реализацию подпрограммы в отчетном году.</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Степень соответствия запланированному уровню затрат по каждой подпрограмме определена на основании данных, приведенных в таблице 1 и отражена в таблице 3.</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соответствия запланированному уровню затрат                                          по каждой подпрограмме.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24"/>
        <w:gridCol w:w="3240"/>
        <w:gridCol w:w="1140"/>
        <w:gridCol w:w="1020"/>
        <w:gridCol w:w="1332"/>
      </w:tblGrid>
      <w:tr w:rsidR="000F13B9" w:rsidTr="000F13B9">
        <w:trPr>
          <w:tblCellSpacing w:w="0" w:type="dxa"/>
        </w:trPr>
        <w:tc>
          <w:tcPr>
            <w:tcW w:w="15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32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w:t>
            </w:r>
          </w:p>
        </w:tc>
        <w:tc>
          <w:tcPr>
            <w:tcW w:w="21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на реализацию подпрограмм (тыс.руб.)</w:t>
            </w:r>
          </w:p>
        </w:tc>
        <w:tc>
          <w:tcPr>
            <w:tcW w:w="13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соответствия запланированному уровню расходов, СС</w:t>
            </w:r>
            <w:r>
              <w:rPr>
                <w:rFonts w:ascii="Tahoma" w:hAnsi="Tahoma" w:cs="Tahoma"/>
                <w:color w:val="000000"/>
                <w:sz w:val="13"/>
                <w:szCs w:val="13"/>
                <w:vertAlign w:val="subscript"/>
              </w:rPr>
              <w:t>уз</w:t>
            </w:r>
          </w:p>
        </w:tc>
      </w:tr>
      <w:tr w:rsidR="000F13B9" w:rsidTr="000F13B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План 2020 г. З</w:t>
            </w:r>
            <w:r>
              <w:rPr>
                <w:rFonts w:ascii="Tahoma" w:hAnsi="Tahoma" w:cs="Tahoma"/>
                <w:color w:val="000000"/>
                <w:sz w:val="13"/>
                <w:szCs w:val="13"/>
                <w:vertAlign w:val="subscript"/>
              </w:rPr>
              <w:t>п</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Факт,      З</w:t>
            </w:r>
            <w:r>
              <w:rPr>
                <w:rFonts w:ascii="Tahoma" w:hAnsi="Tahoma" w:cs="Tahoma"/>
                <w:color w:val="000000"/>
                <w:sz w:val="13"/>
                <w:szCs w:val="13"/>
                <w:vertAlign w:val="subscript"/>
              </w:rPr>
              <w:t>ф</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в Пристенском районе Курской области на      2020 – 2022 годы</w:t>
            </w:r>
            <w:r>
              <w:rPr>
                <w:rStyle w:val="a4"/>
                <w:rFonts w:ascii="Tahoma" w:hAnsi="Tahoma" w:cs="Tahoma"/>
                <w:color w:val="000000"/>
                <w:sz w:val="13"/>
                <w:szCs w:val="13"/>
              </w:rPr>
              <w:t> </w:t>
            </w: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2 014,563</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1 740,969</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0,86</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муниципальной программы «Профилактика преступлений и иных  правонарушений в Пристенском районе Курской области»</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2</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правопорядка на территории муниципального образования</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27,8</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14,7</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0,64</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Подпрограмма 3</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терроризма и экстремизма в Пристенском районе Курской области</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1680,963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1 417,369</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0,84</w:t>
            </w:r>
          </w:p>
        </w:tc>
      </w:tr>
    </w:tbl>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widowControl/>
        <w:numPr>
          <w:ilvl w:val="0"/>
          <w:numId w:val="20"/>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Эффективность использования средств бюджета                              муниципального района «Пристенский район» Курской области</w:t>
      </w:r>
      <w:r>
        <w:rPr>
          <w:rFonts w:ascii="Tahoma" w:hAnsi="Tahoma" w:cs="Tahoma"/>
          <w:color w:val="000000"/>
          <w:sz w:val="13"/>
          <w:szCs w:val="13"/>
        </w:rPr>
        <w:t> рассчитана для каждой подпрограммы как отношение степени реализации мероприятий к степени соответствия запланированному уровню расходов из средств бюджета муниципального бюджета по формуле: Э</w:t>
      </w:r>
      <w:r>
        <w:rPr>
          <w:rFonts w:ascii="Tahoma" w:hAnsi="Tahoma" w:cs="Tahoma"/>
          <w:color w:val="000000"/>
          <w:sz w:val="13"/>
          <w:szCs w:val="13"/>
          <w:vertAlign w:val="subscript"/>
        </w:rPr>
        <w:t>ис</w:t>
      </w: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w:t>
      </w:r>
      <w:r>
        <w:rPr>
          <w:rFonts w:ascii="Tahoma" w:hAnsi="Tahoma" w:cs="Tahoma"/>
          <w:color w:val="000000"/>
          <w:sz w:val="13"/>
          <w:szCs w:val="13"/>
          <w:vertAlign w:val="subscript"/>
        </w:rPr>
        <w:t>  </w:t>
      </w: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w:t>
      </w:r>
      <w:r>
        <w:rPr>
          <w:rFonts w:ascii="Tahoma" w:hAnsi="Tahoma" w:cs="Tahoma"/>
          <w:color w:val="000000"/>
          <w:sz w:val="13"/>
          <w:szCs w:val="13"/>
          <w:vertAlign w:val="subscript"/>
        </w:rPr>
        <w:t>  </w:t>
      </w:r>
      <w:r>
        <w:rPr>
          <w:rFonts w:ascii="Tahoma" w:hAnsi="Tahoma" w:cs="Tahoma"/>
          <w:color w:val="000000"/>
          <w:sz w:val="13"/>
          <w:szCs w:val="13"/>
        </w:rPr>
        <w:t>где Э</w:t>
      </w:r>
      <w:r>
        <w:rPr>
          <w:rFonts w:ascii="Tahoma" w:hAnsi="Tahoma" w:cs="Tahoma"/>
          <w:color w:val="000000"/>
          <w:sz w:val="13"/>
          <w:szCs w:val="13"/>
          <w:vertAlign w:val="subscript"/>
        </w:rPr>
        <w:t>ис </w:t>
      </w:r>
      <w:r>
        <w:rPr>
          <w:rFonts w:ascii="Tahoma" w:hAnsi="Tahoma" w:cs="Tahoma"/>
          <w:color w:val="000000"/>
          <w:sz w:val="13"/>
          <w:szCs w:val="13"/>
        </w:rPr>
        <w:t> - эффективность использования средств бюджета муниципального района; 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мероприятий финансируемых из средств бюджета муниципального района; 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средств бюджета муниципального района.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использования средств бюджета муниципального района  по каждой подпрограмме отражена в таблице 4.</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24"/>
        <w:gridCol w:w="3240"/>
        <w:gridCol w:w="1176"/>
        <w:gridCol w:w="114"/>
        <w:gridCol w:w="1656"/>
        <w:gridCol w:w="1116"/>
      </w:tblGrid>
      <w:tr w:rsidR="000F13B9" w:rsidTr="000F13B9">
        <w:trPr>
          <w:tblCellSpacing w:w="0" w:type="dxa"/>
        </w:trPr>
        <w:tc>
          <w:tcPr>
            <w:tcW w:w="15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32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реализации мероприятий, СР</w:t>
            </w:r>
            <w:r>
              <w:rPr>
                <w:rFonts w:ascii="Tahoma" w:hAnsi="Tahoma" w:cs="Tahoma"/>
                <w:color w:val="000000"/>
                <w:sz w:val="13"/>
                <w:szCs w:val="13"/>
                <w:vertAlign w:val="subscript"/>
              </w:rPr>
              <w:t>м</w:t>
            </w:r>
          </w:p>
        </w:tc>
        <w:tc>
          <w:tcPr>
            <w:tcW w:w="124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соответствия запланированному уровню расходов,  СС</w:t>
            </w:r>
            <w:r>
              <w:rPr>
                <w:rFonts w:ascii="Tahoma" w:hAnsi="Tahoma" w:cs="Tahoma"/>
                <w:color w:val="000000"/>
                <w:sz w:val="13"/>
                <w:szCs w:val="13"/>
                <w:vertAlign w:val="subscript"/>
              </w:rPr>
              <w:t>уз</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использова-ния средств Э</w:t>
            </w:r>
            <w:r>
              <w:rPr>
                <w:rFonts w:ascii="Tahoma" w:hAnsi="Tahoma" w:cs="Tahoma"/>
                <w:color w:val="000000"/>
                <w:sz w:val="13"/>
                <w:szCs w:val="13"/>
                <w:vertAlign w:val="subscript"/>
              </w:rPr>
              <w:t>ис</w:t>
            </w:r>
          </w:p>
        </w:tc>
      </w:tr>
      <w:tr w:rsidR="000F13B9" w:rsidTr="000F13B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в Пристенском районе Курской области на      2017 – 2019 годы</w:t>
            </w:r>
            <w:r>
              <w:rPr>
                <w:rStyle w:val="a4"/>
                <w:rFonts w:ascii="Tahoma" w:hAnsi="Tahoma" w:cs="Tahoma"/>
                <w:color w:val="000000"/>
                <w:sz w:val="13"/>
                <w:szCs w:val="13"/>
              </w:rPr>
              <w:t>» </w:t>
            </w:r>
            <w:r>
              <w:rPr>
                <w:rFonts w:ascii="Tahoma" w:hAnsi="Tahoma" w:cs="Tahoma"/>
                <w:color w:val="000000"/>
                <w:sz w:val="13"/>
                <w:szCs w:val="13"/>
              </w:rPr>
              <w:t>      </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0.86</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1.16</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муниципальной программы «Профилактика преступлений и иных  правонарушений в Пристенском районе Курской области</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2</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правопорядка на территории муниципального образования</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0.64</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3</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терроризма и экстремизма в Пристенском районе Курской области</w:t>
            </w:r>
          </w:p>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0.84</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1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r>
    </w:tbl>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widowControl/>
        <w:numPr>
          <w:ilvl w:val="0"/>
          <w:numId w:val="21"/>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4.                Степень достижения целей и решения задач подпрограмм.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оценки степени достижения целей и решения задач (степень реализации) определяется степень достижения плановых значений каждого показателя (индикатора), характеризующего цели и задачи подпрограмм.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 </w:t>
      </w:r>
      <w:r>
        <w:rPr>
          <w:rFonts w:ascii="Tahoma" w:hAnsi="Tahoma" w:cs="Tahoma"/>
          <w:color w:val="000000"/>
          <w:sz w:val="13"/>
          <w:szCs w:val="13"/>
          <w:vertAlign w:val="subscript"/>
        </w:rPr>
        <w:t>п/ппз</w:t>
      </w:r>
      <w:r>
        <w:rPr>
          <w:rFonts w:ascii="Tahoma" w:hAnsi="Tahoma" w:cs="Tahoma"/>
          <w:color w:val="000000"/>
          <w:sz w:val="13"/>
          <w:szCs w:val="13"/>
        </w:rPr>
        <w:t>=ЗП </w:t>
      </w:r>
      <w:r>
        <w:rPr>
          <w:rFonts w:ascii="Tahoma" w:hAnsi="Tahoma" w:cs="Tahoma"/>
          <w:color w:val="000000"/>
          <w:sz w:val="13"/>
          <w:szCs w:val="13"/>
          <w:vertAlign w:val="subscript"/>
        </w:rPr>
        <w:t>п/пф</w:t>
      </w:r>
      <w:r>
        <w:rPr>
          <w:rFonts w:ascii="Tahoma" w:hAnsi="Tahoma" w:cs="Tahoma"/>
          <w:color w:val="000000"/>
          <w:sz w:val="13"/>
          <w:szCs w:val="13"/>
        </w:rPr>
        <w:t>/</w:t>
      </w:r>
      <w:r>
        <w:rPr>
          <w:rFonts w:ascii="Tahoma" w:hAnsi="Tahoma" w:cs="Tahoma"/>
          <w:color w:val="000000"/>
          <w:sz w:val="13"/>
          <w:szCs w:val="13"/>
          <w:vertAlign w:val="subscript"/>
        </w:rPr>
        <w:t>  </w:t>
      </w:r>
      <w:r>
        <w:rPr>
          <w:rFonts w:ascii="Tahoma" w:hAnsi="Tahoma" w:cs="Tahoma"/>
          <w:color w:val="000000"/>
          <w:sz w:val="13"/>
          <w:szCs w:val="13"/>
        </w:rPr>
        <w:t>ЗП </w:t>
      </w:r>
      <w:r>
        <w:rPr>
          <w:rFonts w:ascii="Tahoma" w:hAnsi="Tahoma" w:cs="Tahoma"/>
          <w:color w:val="000000"/>
          <w:sz w:val="13"/>
          <w:szCs w:val="13"/>
          <w:vertAlign w:val="subscript"/>
        </w:rPr>
        <w:t>п/пп </w:t>
      </w:r>
      <w:r>
        <w:rPr>
          <w:rFonts w:ascii="Tahoma" w:hAnsi="Tahoma" w:cs="Tahoma"/>
          <w:color w:val="000000"/>
          <w:sz w:val="13"/>
          <w:szCs w:val="13"/>
        </w:rPr>
        <w:t>где: СД </w:t>
      </w:r>
      <w:r>
        <w:rPr>
          <w:rFonts w:ascii="Tahoma" w:hAnsi="Tahoma" w:cs="Tahoma"/>
          <w:color w:val="000000"/>
          <w:sz w:val="13"/>
          <w:szCs w:val="13"/>
          <w:vertAlign w:val="subscript"/>
        </w:rPr>
        <w:t>п/ппз </w:t>
      </w:r>
      <w:r>
        <w:rPr>
          <w:rFonts w:ascii="Tahoma" w:hAnsi="Tahoma" w:cs="Tahoma"/>
          <w:color w:val="000000"/>
          <w:sz w:val="13"/>
          <w:szCs w:val="13"/>
        </w:rPr>
        <w:t>– степень достижения планового значения показателя (индикатора), ЗП </w:t>
      </w:r>
      <w:r>
        <w:rPr>
          <w:rFonts w:ascii="Tahoma" w:hAnsi="Tahoma" w:cs="Tahoma"/>
          <w:color w:val="000000"/>
          <w:sz w:val="13"/>
          <w:szCs w:val="13"/>
          <w:vertAlign w:val="subscript"/>
        </w:rPr>
        <w:t>п/пФ</w:t>
      </w:r>
      <w:r>
        <w:rPr>
          <w:rFonts w:ascii="Tahoma" w:hAnsi="Tahoma" w:cs="Tahoma"/>
          <w:color w:val="000000"/>
          <w:sz w:val="13"/>
          <w:szCs w:val="13"/>
        </w:rPr>
        <w:t> – значение показателя (индикатора), характеризующее цели и задачи подпрограммы, ЗП </w:t>
      </w:r>
      <w:r>
        <w:rPr>
          <w:rFonts w:ascii="Tahoma" w:hAnsi="Tahoma" w:cs="Tahoma"/>
          <w:color w:val="000000"/>
          <w:sz w:val="13"/>
          <w:szCs w:val="13"/>
          <w:vertAlign w:val="subscript"/>
        </w:rPr>
        <w:t>п/пп</w:t>
      </w:r>
      <w:r>
        <w:rPr>
          <w:rFonts w:ascii="Tahoma" w:hAnsi="Tahoma" w:cs="Tahoma"/>
          <w:color w:val="000000"/>
          <w:sz w:val="13"/>
          <w:szCs w:val="13"/>
        </w:rPr>
        <w:t> – плановое значение показателя (индикатора), характеризующего цели и задачи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 ПОКАЗАТЕЛЯХ (ИНДИКАТОРАХ)</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«Профилактика  преступлений и иных                                                                                                                      правонарушений в Пристенском районе Курской области на 2020-2022 годы» за 2020 год</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0822" w:type="dxa"/>
        <w:tblCellSpacing w:w="0" w:type="dxa"/>
        <w:shd w:val="clear" w:color="auto" w:fill="EEEEEE"/>
        <w:tblCellMar>
          <w:left w:w="0" w:type="dxa"/>
          <w:right w:w="0" w:type="dxa"/>
        </w:tblCellMar>
        <w:tblLook w:val="04A0"/>
      </w:tblPr>
      <w:tblGrid>
        <w:gridCol w:w="452"/>
        <w:gridCol w:w="114"/>
        <w:gridCol w:w="114"/>
        <w:gridCol w:w="3276"/>
        <w:gridCol w:w="114"/>
        <w:gridCol w:w="114"/>
        <w:gridCol w:w="963"/>
        <w:gridCol w:w="114"/>
        <w:gridCol w:w="114"/>
        <w:gridCol w:w="114"/>
        <w:gridCol w:w="1051"/>
        <w:gridCol w:w="114"/>
        <w:gridCol w:w="114"/>
        <w:gridCol w:w="572"/>
        <w:gridCol w:w="114"/>
        <w:gridCol w:w="114"/>
        <w:gridCol w:w="579"/>
        <w:gridCol w:w="114"/>
        <w:gridCol w:w="114"/>
        <w:gridCol w:w="114"/>
        <w:gridCol w:w="480"/>
        <w:gridCol w:w="114"/>
        <w:gridCol w:w="114"/>
        <w:gridCol w:w="114"/>
        <w:gridCol w:w="1511"/>
      </w:tblGrid>
      <w:tr w:rsidR="000F13B9" w:rsidTr="000F13B9">
        <w:trPr>
          <w:tblHeader/>
          <w:tblCellSpacing w:w="0" w:type="dxa"/>
        </w:trPr>
        <w:tc>
          <w:tcPr>
            <w:tcW w:w="54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п/п</w:t>
            </w:r>
          </w:p>
        </w:tc>
        <w:tc>
          <w:tcPr>
            <w:tcW w:w="4440" w:type="dxa"/>
            <w:gridSpan w:val="3"/>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Наименование индикаторов и показателей</w:t>
            </w:r>
          </w:p>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целей и задач Программы</w:t>
            </w:r>
          </w:p>
        </w:tc>
        <w:tc>
          <w:tcPr>
            <w:tcW w:w="1248" w:type="dxa"/>
            <w:gridSpan w:val="4"/>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Единица измерения</w:t>
            </w:r>
          </w:p>
        </w:tc>
        <w:tc>
          <w:tcPr>
            <w:tcW w:w="5676" w:type="dxa"/>
            <w:gridSpan w:val="17"/>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Значения индикаторов и показателей Программы</w:t>
            </w:r>
          </w:p>
        </w:tc>
      </w:tr>
      <w:tr w:rsidR="000F13B9" w:rsidTr="000F13B9">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FFFFFF"/>
                <w:sz w:val="13"/>
                <w:szCs w:val="13"/>
              </w:rPr>
            </w:pPr>
          </w:p>
        </w:tc>
        <w:tc>
          <w:tcPr>
            <w:tcW w:w="0" w:type="auto"/>
            <w:gridSpan w:val="3"/>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FFFFFF"/>
                <w:sz w:val="13"/>
                <w:szCs w:val="13"/>
              </w:rPr>
            </w:pP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FFFFFF"/>
                <w:sz w:val="13"/>
                <w:szCs w:val="13"/>
              </w:rPr>
            </w:pP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2020г.-план</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2020 г.- факт</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2021 г.</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2022 г.</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Степень достижения</w:t>
            </w:r>
          </w:p>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СДп/ппз</w:t>
            </w:r>
          </w:p>
          <w:p w:rsidR="000F13B9" w:rsidRDefault="000F13B9">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w:t>
            </w:r>
          </w:p>
        </w:tc>
      </w:tr>
      <w:tr w:rsidR="000F13B9" w:rsidTr="000F13B9">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«Профилактика  преступлений и иных                                                                                                                      правонарушений в Пристенском районе Курской области на 2020-2022 годы»</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0F13B9" w:rsidTr="000F13B9">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p>
        </w:tc>
        <w:tc>
          <w:tcPr>
            <w:tcW w:w="44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совершенных преступлений с численностью населения Пристенского района Курской области</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 цифрах/единиц на 10</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 населения</w:t>
            </w: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139,0</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138,0</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В результате проведенных мероприятий направленные на профилактику правонарушений на </w:t>
            </w:r>
            <w:r>
              <w:rPr>
                <w:rFonts w:ascii="Tahoma" w:hAnsi="Tahoma" w:cs="Tahoma"/>
                <w:color w:val="000000"/>
                <w:sz w:val="13"/>
                <w:szCs w:val="13"/>
              </w:rPr>
              <w:lastRenderedPageBreak/>
              <w:t>территории Пристенского района</w:t>
            </w:r>
          </w:p>
        </w:tc>
      </w:tr>
      <w:tr w:rsidR="000F13B9" w:rsidTr="000F13B9">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w:t>
            </w:r>
          </w:p>
        </w:tc>
        <w:tc>
          <w:tcPr>
            <w:tcW w:w="44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r>
      <w:tr w:rsidR="000F13B9" w:rsidTr="000F13B9">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w:t>
            </w:r>
          </w:p>
        </w:tc>
        <w:tc>
          <w:tcPr>
            <w:tcW w:w="44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публикаций в средствах массовой информации по вопросам правоохранительной деятельности</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 цифрах</w:t>
            </w: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работы апппарата АТК с СМИ</w:t>
            </w:r>
          </w:p>
        </w:tc>
      </w:tr>
      <w:tr w:rsidR="000F13B9" w:rsidTr="000F13B9">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 1 «Управление муниципальной программой и обеспечение условий реализации»;</w:t>
            </w:r>
          </w:p>
          <w:p w:rsidR="000F13B9" w:rsidRDefault="000F13B9">
            <w:pPr>
              <w:pStyle w:val="4"/>
              <w:spacing w:before="0"/>
              <w:rPr>
                <w:rFonts w:ascii="Tahoma" w:hAnsi="Tahoma" w:cs="Tahoma"/>
                <w:color w:val="000000"/>
              </w:rPr>
            </w:pPr>
            <w:r>
              <w:rPr>
                <w:rFonts w:ascii="Tahoma" w:hAnsi="Tahoma" w:cs="Tahoma"/>
                <w:color w:val="000000"/>
              </w:rPr>
              <w:t> </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0F13B9" w:rsidTr="000F13B9">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w:t>
            </w:r>
          </w:p>
        </w:tc>
        <w:tc>
          <w:tcPr>
            <w:tcW w:w="44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2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9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8.7</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65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r>
              <w:rPr>
                <w:rFonts w:ascii="Tahoma" w:hAnsi="Tahoma" w:cs="Tahoma"/>
                <w:color w:val="000000"/>
                <w:sz w:val="13"/>
                <w:szCs w:val="13"/>
              </w:rPr>
              <w:t> Осуществление комплекс организационно - практических мер, направленных на предупреждение  правонарушений и преступлений среди  несовершеннолетних</w:t>
            </w:r>
          </w:p>
        </w:tc>
      </w:tr>
      <w:tr w:rsidR="000F13B9" w:rsidTr="000F13B9">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 2 «Обеспечение правопорядка на территории муниципального образования «Пристенский район»;</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(НД Пристенского района)</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абсолютных цифрах</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результате совместного с проведени япрофилактических мероприятий, в том числе в вечернее время сотрудниками полиции и членами ДНД</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6.</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правонарушений, совершенных на улицах и в других общественных местах, с общим числом преступлений</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17.4</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9.9</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результате  проведения профилактических мероприятий.</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7.</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систематически занимающихся физической культурой и спортом, в общей численности населения района</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39,0</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39,5</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В результате вовлечения в занятие физкультурой и спортом жителей района всех возрастов</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Соотношение числа преступлений, совершенных в состоянии алкогольного опьянения, с общим числом </w:t>
            </w:r>
            <w:r>
              <w:rPr>
                <w:rFonts w:ascii="Tahoma" w:hAnsi="Tahoma" w:cs="Tahoma"/>
                <w:color w:val="000000"/>
                <w:sz w:val="13"/>
                <w:szCs w:val="13"/>
              </w:rPr>
              <w:lastRenderedPageBreak/>
              <w:t>оконченных расследованием преступлений</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30,0</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29.3</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В результате </w:t>
            </w:r>
            <w:r>
              <w:rPr>
                <w:rFonts w:ascii="Tahoma" w:hAnsi="Tahoma" w:cs="Tahoma"/>
                <w:color w:val="000000"/>
                <w:sz w:val="13"/>
                <w:szCs w:val="13"/>
              </w:rPr>
              <w:lastRenderedPageBreak/>
              <w:t> проведения профилактических мероприятий</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9.</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ранее осуждавшихся за совершение преступлений, в общем количестве лиц, уголовные дела в отношении которых направлены в суд</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50,0</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25.4</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результате  проведения профилактических мероприятий, в том числе связанных ч ресоциализацией ранее судимых лиц</w:t>
            </w:r>
          </w:p>
        </w:tc>
      </w:tr>
      <w:tr w:rsidR="000F13B9" w:rsidTr="000F13B9">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Подпрограмма№3 «Профилактика терроризма и экстремизма в Пристенском районе Курской области»</w:t>
            </w:r>
          </w:p>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110.</w:t>
            </w:r>
          </w:p>
        </w:tc>
        <w:tc>
          <w:tcPr>
            <w:tcW w:w="441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ныхцифрах</w:t>
            </w:r>
          </w:p>
        </w:tc>
        <w:tc>
          <w:tcPr>
            <w:tcW w:w="15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8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87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4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количества рассмотриваемых вопросов</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111.</w:t>
            </w:r>
          </w:p>
        </w:tc>
        <w:tc>
          <w:tcPr>
            <w:tcW w:w="441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Освещение в средствах массовой  информации работы по профилактике экстремиз</w:t>
            </w:r>
            <w:r>
              <w:rPr>
                <w:rFonts w:ascii="Tahoma" w:hAnsi="Tahoma" w:cs="Tahoma"/>
                <w:color w:val="000000"/>
                <w:sz w:val="13"/>
                <w:szCs w:val="13"/>
              </w:rPr>
              <w:softHyphen/>
              <w:t>ма и терроризма</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ныхцифрах</w:t>
            </w:r>
          </w:p>
        </w:tc>
        <w:tc>
          <w:tcPr>
            <w:tcW w:w="15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w:t>
            </w:r>
          </w:p>
        </w:tc>
        <w:tc>
          <w:tcPr>
            <w:tcW w:w="8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c>
          <w:tcPr>
            <w:tcW w:w="87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4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работы апппарата АТК с СМИ</w:t>
            </w:r>
          </w:p>
        </w:tc>
      </w:tr>
      <w:tr w:rsidR="000F13B9" w:rsidTr="000F13B9">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112.</w:t>
            </w:r>
          </w:p>
        </w:tc>
        <w:tc>
          <w:tcPr>
            <w:tcW w:w="441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ныхцифрах</w:t>
            </w:r>
          </w:p>
        </w:tc>
        <w:tc>
          <w:tcPr>
            <w:tcW w:w="15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900</w:t>
            </w:r>
          </w:p>
        </w:tc>
        <w:tc>
          <w:tcPr>
            <w:tcW w:w="8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c>
          <w:tcPr>
            <w:tcW w:w="87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64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Привлечение к данной работе членов информационно- пропагандистких групп и членов ДНД</w:t>
            </w:r>
          </w:p>
        </w:tc>
      </w:tr>
      <w:tr w:rsidR="000F13B9" w:rsidTr="000F13B9">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1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r>
    </w:tbl>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widowControl/>
        <w:numPr>
          <w:ilvl w:val="0"/>
          <w:numId w:val="22"/>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5.                             Степень реализации подпрограмм.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реализации подпрограмм рассчитывается по формуле: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 число показателей (индикаторов), характеризующих цели и задачи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24"/>
        <w:gridCol w:w="3240"/>
        <w:gridCol w:w="1128"/>
        <w:gridCol w:w="114"/>
        <w:gridCol w:w="1248"/>
        <w:gridCol w:w="1104"/>
      </w:tblGrid>
      <w:tr w:rsidR="000F13B9" w:rsidTr="000F13B9">
        <w:trPr>
          <w:tblCellSpacing w:w="0" w:type="dxa"/>
        </w:trPr>
        <w:tc>
          <w:tcPr>
            <w:tcW w:w="15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32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p>
        </w:tc>
        <w:tc>
          <w:tcPr>
            <w:tcW w:w="124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w:t>
            </w:r>
          </w:p>
        </w:tc>
      </w:tr>
      <w:tr w:rsidR="000F13B9" w:rsidTr="000F13B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в Пристенском районе Курской области на      2017 – 2019 годы</w:t>
            </w:r>
            <w:r>
              <w:rPr>
                <w:rStyle w:val="a4"/>
                <w:rFonts w:ascii="Tahoma" w:hAnsi="Tahoma" w:cs="Tahoma"/>
                <w:color w:val="000000"/>
                <w:sz w:val="13"/>
                <w:szCs w:val="13"/>
              </w:rPr>
              <w:t>» </w:t>
            </w:r>
            <w:r>
              <w:rPr>
                <w:rFonts w:ascii="Tahoma" w:hAnsi="Tahoma" w:cs="Tahoma"/>
                <w:color w:val="000000"/>
                <w:sz w:val="13"/>
                <w:szCs w:val="13"/>
              </w:rPr>
              <w:t>      </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Управление муниципальной программой и обеспечение условий реализации» муниципальной </w:t>
            </w:r>
            <w:r>
              <w:rPr>
                <w:rFonts w:ascii="Tahoma" w:hAnsi="Tahoma" w:cs="Tahoma"/>
                <w:color w:val="000000"/>
                <w:sz w:val="13"/>
                <w:szCs w:val="13"/>
              </w:rPr>
              <w:lastRenderedPageBreak/>
              <w:t>программы «Профилактика преступлений и иных  правонарушений в Пристенском районе Курской области</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Подпрограмма 2</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правопорядка на территории муниципального образования</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r>
    </w:tbl>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widowControl/>
        <w:numPr>
          <w:ilvl w:val="0"/>
          <w:numId w:val="23"/>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6.                Оценка эффективности реализации подпрограмм.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муниципального района по следующей формуле: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СР</w:t>
      </w:r>
      <w:r>
        <w:rPr>
          <w:rFonts w:ascii="Tahoma" w:hAnsi="Tahoma" w:cs="Tahoma"/>
          <w:color w:val="000000"/>
          <w:sz w:val="13"/>
          <w:szCs w:val="13"/>
          <w:vertAlign w:val="subscript"/>
        </w:rPr>
        <w:t>п/п</w:t>
      </w:r>
      <w:r>
        <w:rPr>
          <w:rFonts w:ascii="Tahoma" w:hAnsi="Tahoma" w:cs="Tahoma"/>
          <w:color w:val="000000"/>
          <w:sz w:val="13"/>
          <w:szCs w:val="13"/>
        </w:rPr>
        <w:t> x Э</w:t>
      </w:r>
      <w:r>
        <w:rPr>
          <w:rFonts w:ascii="Tahoma" w:hAnsi="Tahoma" w:cs="Tahoma"/>
          <w:color w:val="000000"/>
          <w:sz w:val="13"/>
          <w:szCs w:val="13"/>
          <w:vertAlign w:val="subscript"/>
        </w:rPr>
        <w:t>ис</w:t>
      </w:r>
      <w:r>
        <w:rPr>
          <w:rFonts w:ascii="Tahoma" w:hAnsi="Tahoma" w:cs="Tahoma"/>
          <w:color w:val="000000"/>
          <w:sz w:val="13"/>
          <w:szCs w:val="13"/>
        </w:rPr>
        <w:t>, где: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как значение показателя не менее 0,9 эффективность реализации подпрограммы 1 признается высокой.</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 каждой подпрограмме отражена в таблице 6.</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24"/>
        <w:gridCol w:w="3240"/>
        <w:gridCol w:w="1128"/>
        <w:gridCol w:w="114"/>
        <w:gridCol w:w="1248"/>
        <w:gridCol w:w="1104"/>
      </w:tblGrid>
      <w:tr w:rsidR="000F13B9" w:rsidTr="000F13B9">
        <w:trPr>
          <w:tblCellSpacing w:w="0" w:type="dxa"/>
        </w:trPr>
        <w:tc>
          <w:tcPr>
            <w:tcW w:w="15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32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p>
        </w:tc>
        <w:tc>
          <w:tcPr>
            <w:tcW w:w="124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w:t>
            </w:r>
          </w:p>
        </w:tc>
        <w:tc>
          <w:tcPr>
            <w:tcW w:w="11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w:t>
            </w:r>
          </w:p>
        </w:tc>
      </w:tr>
      <w:tr w:rsidR="000F13B9" w:rsidTr="000F13B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F13B9" w:rsidRDefault="000F13B9">
            <w:pPr>
              <w:rPr>
                <w:rFonts w:ascii="Tahoma" w:hAnsi="Tahoma" w:cs="Tahoma"/>
                <w:color w:val="000000"/>
                <w:sz w:val="13"/>
                <w:szCs w:val="13"/>
              </w:rPr>
            </w:pP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в Пристенском районе Курской области на      2017 – 2019 годы</w:t>
            </w:r>
            <w:r>
              <w:rPr>
                <w:rStyle w:val="a4"/>
                <w:rFonts w:ascii="Tahoma" w:hAnsi="Tahoma" w:cs="Tahoma"/>
                <w:color w:val="000000"/>
                <w:sz w:val="13"/>
                <w:szCs w:val="13"/>
              </w:rPr>
              <w:t>» </w:t>
            </w:r>
            <w:r>
              <w:rPr>
                <w:rFonts w:ascii="Tahoma" w:hAnsi="Tahoma" w:cs="Tahoma"/>
                <w:color w:val="000000"/>
                <w:sz w:val="13"/>
                <w:szCs w:val="13"/>
              </w:rPr>
              <w:t>      </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1.16</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1.16</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муниципальной программы «Профилактика преступлений и иных  правонарушений в Пристенском районе Курской области</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2</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правопорядка на территории муниципального образования</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3</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терроризма и экстремизма в Пристенском районе Курской области</w:t>
            </w:r>
          </w:p>
          <w:p w:rsidR="000F13B9" w:rsidRDefault="000F13B9">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F13B9" w:rsidRDefault="000F13B9">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r>
      <w:tr w:rsidR="000F13B9" w:rsidTr="000F13B9">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F13B9" w:rsidRDefault="000F13B9">
            <w:pPr>
              <w:rPr>
                <w:rFonts w:ascii="Tahoma" w:hAnsi="Tahoma" w:cs="Tahoma"/>
                <w:color w:val="000000"/>
                <w:sz w:val="1"/>
                <w:szCs w:val="13"/>
              </w:rPr>
            </w:pPr>
          </w:p>
        </w:tc>
      </w:tr>
    </w:tbl>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widowControl/>
        <w:numPr>
          <w:ilvl w:val="0"/>
          <w:numId w:val="24"/>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7.                Степень достижения целей и решения задач (степень реализации)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оценки степени достижения целей и решения задач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 где: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гпф</w:t>
      </w:r>
      <w:r>
        <w:rPr>
          <w:rFonts w:ascii="Tahoma" w:hAnsi="Tahoma" w:cs="Tahoma"/>
          <w:color w:val="000000"/>
          <w:sz w:val="13"/>
          <w:szCs w:val="13"/>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гпп</w:t>
      </w:r>
      <w:r>
        <w:rPr>
          <w:rFonts w:ascii="Tahoma" w:hAnsi="Tahoma" w:cs="Tahoma"/>
          <w:color w:val="000000"/>
          <w:sz w:val="13"/>
          <w:szCs w:val="13"/>
        </w:rPr>
        <w:t> - плановое значение показателя (индикатора), характеризующего цели и задачи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СД</w:t>
      </w:r>
      <w:r>
        <w:rPr>
          <w:rFonts w:ascii="Tahoma" w:hAnsi="Tahoma" w:cs="Tahoma"/>
          <w:color w:val="000000"/>
          <w:sz w:val="13"/>
          <w:szCs w:val="13"/>
          <w:vertAlign w:val="subscript"/>
        </w:rPr>
        <w:t>гппз</w:t>
      </w:r>
      <w:r>
        <w:rPr>
          <w:rFonts w:ascii="Tahoma" w:hAnsi="Tahoma" w:cs="Tahoma"/>
          <w:color w:val="000000"/>
          <w:sz w:val="13"/>
          <w:szCs w:val="13"/>
        </w:rPr>
        <w:t> = 1/1=1:</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0F13B9" w:rsidRDefault="000F13B9" w:rsidP="000F13B9">
      <w:pPr>
        <w:widowControl/>
        <w:numPr>
          <w:ilvl w:val="0"/>
          <w:numId w:val="25"/>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8.     Степень реализации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реализации муниципальной программы рассчитывается по формуле: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где: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число показателей (индикаторов), характеризующих цели и задачи подпрограммы.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случае если СД</w:t>
      </w:r>
      <w:r>
        <w:rPr>
          <w:rFonts w:ascii="Tahoma" w:hAnsi="Tahoma" w:cs="Tahoma"/>
          <w:color w:val="000000"/>
          <w:sz w:val="13"/>
          <w:szCs w:val="13"/>
          <w:vertAlign w:val="subscript"/>
        </w:rPr>
        <w:t>гппз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гппз</w:t>
      </w:r>
      <w:r>
        <w:rPr>
          <w:rFonts w:ascii="Tahoma" w:hAnsi="Tahoma" w:cs="Tahoma"/>
          <w:color w:val="000000"/>
          <w:sz w:val="13"/>
          <w:szCs w:val="13"/>
        </w:rPr>
        <w:t> принимается равным 1.</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w:t>
      </w:r>
      <w:r>
        <w:rPr>
          <w:rFonts w:ascii="Tahoma" w:hAnsi="Tahoma" w:cs="Tahoma"/>
          <w:color w:val="000000"/>
          <w:sz w:val="13"/>
          <w:szCs w:val="13"/>
          <w:vertAlign w:val="subscript"/>
        </w:rPr>
        <w:t>гп</w:t>
      </w:r>
      <w:r>
        <w:rPr>
          <w:rFonts w:ascii="Tahoma" w:hAnsi="Tahoma" w:cs="Tahoma"/>
          <w:color w:val="000000"/>
          <w:sz w:val="13"/>
          <w:szCs w:val="13"/>
        </w:rPr>
        <w:t> =1/1=1</w:t>
      </w:r>
    </w:p>
    <w:p w:rsidR="000F13B9" w:rsidRDefault="000F13B9" w:rsidP="000F13B9">
      <w:pPr>
        <w:widowControl/>
        <w:numPr>
          <w:ilvl w:val="0"/>
          <w:numId w:val="26"/>
        </w:numPr>
        <w:shd w:val="clear" w:color="auto" w:fill="EEEEEE"/>
        <w:autoSpaceDN/>
        <w:adjustRightInd/>
        <w:ind w:left="0"/>
        <w:rPr>
          <w:rFonts w:ascii="Tahoma" w:hAnsi="Tahoma" w:cs="Tahoma"/>
          <w:color w:val="000000"/>
          <w:sz w:val="13"/>
          <w:szCs w:val="13"/>
        </w:rPr>
      </w:pPr>
      <w:r>
        <w:rPr>
          <w:rStyle w:val="a4"/>
          <w:rFonts w:ascii="Tahoma" w:hAnsi="Tahoma" w:cs="Tahoma"/>
          <w:color w:val="000000"/>
          <w:sz w:val="13"/>
          <w:szCs w:val="13"/>
        </w:rPr>
        <w:t>9.                Эффективность реализации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где:</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гп</w:t>
      </w:r>
      <w:r>
        <w:rPr>
          <w:rFonts w:ascii="Tahoma" w:hAnsi="Tahoma" w:cs="Tahoma"/>
          <w:color w:val="000000"/>
          <w:sz w:val="13"/>
          <w:szCs w:val="13"/>
        </w:rPr>
        <w:t> - эффективность реализации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k</w:t>
      </w:r>
      <w:r>
        <w:rPr>
          <w:rFonts w:ascii="Tahoma" w:hAnsi="Tahoma" w:cs="Tahoma"/>
          <w:color w:val="000000"/>
          <w:sz w:val="13"/>
          <w:szCs w:val="13"/>
          <w:vertAlign w:val="subscript"/>
        </w:rPr>
        <w:t>j</w:t>
      </w:r>
      <w:r>
        <w:rPr>
          <w:rFonts w:ascii="Tahoma" w:hAnsi="Tahoma" w:cs="Tahoma"/>
          <w:color w:val="000000"/>
          <w:sz w:val="13"/>
          <w:szCs w:val="13"/>
        </w:rPr>
        <w:t> - коэффициент значимости 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rFonts w:ascii="Tahoma" w:hAnsi="Tahoma" w:cs="Tahoma"/>
          <w:color w:val="000000"/>
          <w:sz w:val="13"/>
          <w:szCs w:val="13"/>
          <w:vertAlign w:val="subscript"/>
        </w:rPr>
        <w:t>j</w:t>
      </w:r>
      <w:r>
        <w:rPr>
          <w:rFonts w:ascii="Tahoma" w:hAnsi="Tahoma" w:cs="Tahoma"/>
          <w:color w:val="000000"/>
          <w:sz w:val="13"/>
          <w:szCs w:val="13"/>
        </w:rPr>
        <w:t> определяется по формуле: kj = Фj / Ф, где Ф</w:t>
      </w:r>
      <w:r>
        <w:rPr>
          <w:rFonts w:ascii="Tahoma" w:hAnsi="Tahoma" w:cs="Tahoma"/>
          <w:color w:val="000000"/>
          <w:sz w:val="13"/>
          <w:szCs w:val="13"/>
          <w:vertAlign w:val="subscript"/>
        </w:rPr>
        <w:t>j</w:t>
      </w:r>
      <w:r>
        <w:rPr>
          <w:rFonts w:ascii="Tahoma" w:hAnsi="Tahoma" w:cs="Tahoma"/>
          <w:color w:val="000000"/>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j - количество подпрограмм.</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гп</w:t>
      </w:r>
      <w:r>
        <w:rPr>
          <w:rFonts w:ascii="Tahoma" w:hAnsi="Tahoma" w:cs="Tahoma"/>
          <w:color w:val="000000"/>
          <w:sz w:val="13"/>
          <w:szCs w:val="13"/>
        </w:rPr>
        <w:t>= 0,5х 1+0,5х1(2014.563\1749.969)=0.93</w:t>
      </w:r>
    </w:p>
    <w:p w:rsidR="000F13B9" w:rsidRDefault="000F13B9" w:rsidP="000F13B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Значение показателя составило  выше 0,9 следовательно, эффективность реализации муниципальной программы Пристенского района Курской области «Профилактика правонарушений в Пристенском районе Курской области на      2020 – 2022 годы признается высокой. Цели и задачи поставленные в муниципальной программе выполнены  в основном в полном объеме.</w:t>
      </w:r>
    </w:p>
    <w:p w:rsidR="00560C54" w:rsidRPr="000F13B9" w:rsidRDefault="00560C54" w:rsidP="000F13B9"/>
    <w:sectPr w:rsidR="00560C54" w:rsidRPr="000F13B9" w:rsidSect="002D7D7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3A"/>
    <w:multiLevelType w:val="multilevel"/>
    <w:tmpl w:val="B906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B30DA"/>
    <w:multiLevelType w:val="multilevel"/>
    <w:tmpl w:val="A6C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B2488"/>
    <w:multiLevelType w:val="multilevel"/>
    <w:tmpl w:val="5682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858AD"/>
    <w:multiLevelType w:val="multilevel"/>
    <w:tmpl w:val="80B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07006"/>
    <w:multiLevelType w:val="multilevel"/>
    <w:tmpl w:val="DED8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43528"/>
    <w:multiLevelType w:val="multilevel"/>
    <w:tmpl w:val="F322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B680C"/>
    <w:multiLevelType w:val="multilevel"/>
    <w:tmpl w:val="C4CA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E9401F"/>
    <w:multiLevelType w:val="multilevel"/>
    <w:tmpl w:val="2CD6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675A6"/>
    <w:multiLevelType w:val="multilevel"/>
    <w:tmpl w:val="6F92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0192B"/>
    <w:multiLevelType w:val="multilevel"/>
    <w:tmpl w:val="534E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775A7"/>
    <w:multiLevelType w:val="multilevel"/>
    <w:tmpl w:val="CC3A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D0807"/>
    <w:multiLevelType w:val="multilevel"/>
    <w:tmpl w:val="5D40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685D2D"/>
    <w:multiLevelType w:val="multilevel"/>
    <w:tmpl w:val="7E70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21DD3"/>
    <w:multiLevelType w:val="multilevel"/>
    <w:tmpl w:val="ECF2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C04EB"/>
    <w:multiLevelType w:val="multilevel"/>
    <w:tmpl w:val="C032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AF34E0"/>
    <w:multiLevelType w:val="multilevel"/>
    <w:tmpl w:val="798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36B18"/>
    <w:multiLevelType w:val="multilevel"/>
    <w:tmpl w:val="756C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D3676A"/>
    <w:multiLevelType w:val="multilevel"/>
    <w:tmpl w:val="48C2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CE6BF3"/>
    <w:multiLevelType w:val="multilevel"/>
    <w:tmpl w:val="2442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75963"/>
    <w:multiLevelType w:val="multilevel"/>
    <w:tmpl w:val="0586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252DA5"/>
    <w:multiLevelType w:val="multilevel"/>
    <w:tmpl w:val="78C0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40CE9"/>
    <w:multiLevelType w:val="multilevel"/>
    <w:tmpl w:val="0076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621B01"/>
    <w:multiLevelType w:val="multilevel"/>
    <w:tmpl w:val="7D8C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3400EA"/>
    <w:multiLevelType w:val="multilevel"/>
    <w:tmpl w:val="788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16574A"/>
    <w:multiLevelType w:val="multilevel"/>
    <w:tmpl w:val="119E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F45FAF"/>
    <w:multiLevelType w:val="multilevel"/>
    <w:tmpl w:val="FFCE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20"/>
  </w:num>
  <w:num w:numId="4">
    <w:abstractNumId w:val="3"/>
  </w:num>
  <w:num w:numId="5">
    <w:abstractNumId w:val="9"/>
  </w:num>
  <w:num w:numId="6">
    <w:abstractNumId w:val="8"/>
  </w:num>
  <w:num w:numId="7">
    <w:abstractNumId w:val="25"/>
  </w:num>
  <w:num w:numId="8">
    <w:abstractNumId w:val="15"/>
  </w:num>
  <w:num w:numId="9">
    <w:abstractNumId w:val="0"/>
  </w:num>
  <w:num w:numId="10">
    <w:abstractNumId w:val="14"/>
  </w:num>
  <w:num w:numId="11">
    <w:abstractNumId w:val="17"/>
  </w:num>
  <w:num w:numId="12">
    <w:abstractNumId w:val="16"/>
  </w:num>
  <w:num w:numId="13">
    <w:abstractNumId w:val="6"/>
  </w:num>
  <w:num w:numId="14">
    <w:abstractNumId w:val="21"/>
  </w:num>
  <w:num w:numId="15">
    <w:abstractNumId w:val="23"/>
  </w:num>
  <w:num w:numId="16">
    <w:abstractNumId w:val="19"/>
  </w:num>
  <w:num w:numId="17">
    <w:abstractNumId w:val="12"/>
  </w:num>
  <w:num w:numId="18">
    <w:abstractNumId w:val="7"/>
  </w:num>
  <w:num w:numId="19">
    <w:abstractNumId w:val="5"/>
  </w:num>
  <w:num w:numId="20">
    <w:abstractNumId w:val="10"/>
  </w:num>
  <w:num w:numId="21">
    <w:abstractNumId w:val="24"/>
  </w:num>
  <w:num w:numId="22">
    <w:abstractNumId w:val="22"/>
  </w:num>
  <w:num w:numId="23">
    <w:abstractNumId w:val="1"/>
  </w:num>
  <w:num w:numId="24">
    <w:abstractNumId w:val="4"/>
  </w:num>
  <w:num w:numId="25">
    <w:abstractNumId w:val="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compat/>
  <w:rsids>
    <w:rsidRoot w:val="00135A29"/>
    <w:rsid w:val="00056DAD"/>
    <w:rsid w:val="00081C89"/>
    <w:rsid w:val="00082DE4"/>
    <w:rsid w:val="000F13B9"/>
    <w:rsid w:val="00120E3E"/>
    <w:rsid w:val="001229E1"/>
    <w:rsid w:val="00130EEA"/>
    <w:rsid w:val="00135A29"/>
    <w:rsid w:val="00145550"/>
    <w:rsid w:val="00226289"/>
    <w:rsid w:val="002D7D74"/>
    <w:rsid w:val="00331A81"/>
    <w:rsid w:val="00344EE3"/>
    <w:rsid w:val="00406A85"/>
    <w:rsid w:val="0043007D"/>
    <w:rsid w:val="00435B9F"/>
    <w:rsid w:val="00451B7F"/>
    <w:rsid w:val="004D73A8"/>
    <w:rsid w:val="004E56B1"/>
    <w:rsid w:val="00560C54"/>
    <w:rsid w:val="005D772F"/>
    <w:rsid w:val="005E772B"/>
    <w:rsid w:val="00620345"/>
    <w:rsid w:val="006A3BBE"/>
    <w:rsid w:val="006A48AE"/>
    <w:rsid w:val="006F353F"/>
    <w:rsid w:val="0074216B"/>
    <w:rsid w:val="00752051"/>
    <w:rsid w:val="007C2201"/>
    <w:rsid w:val="007E2FB6"/>
    <w:rsid w:val="007F4DAA"/>
    <w:rsid w:val="00860F45"/>
    <w:rsid w:val="00886B54"/>
    <w:rsid w:val="00993BC5"/>
    <w:rsid w:val="009B2A07"/>
    <w:rsid w:val="00A36F17"/>
    <w:rsid w:val="00AE2AA4"/>
    <w:rsid w:val="00AE4688"/>
    <w:rsid w:val="00AE6AAF"/>
    <w:rsid w:val="00C71C62"/>
    <w:rsid w:val="00CE4463"/>
    <w:rsid w:val="00CF6855"/>
    <w:rsid w:val="00DF57C2"/>
    <w:rsid w:val="00DF6C70"/>
    <w:rsid w:val="00E10C97"/>
    <w:rsid w:val="00F11C7C"/>
    <w:rsid w:val="00F12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29"/>
    <w:pPr>
      <w:widowControl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DF57C2"/>
    <w:pPr>
      <w:widowControl/>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AE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13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688"/>
    <w:pPr>
      <w:widowControl/>
      <w:autoSpaceDN/>
      <w:adjustRightInd/>
      <w:spacing w:before="100" w:beforeAutospacing="1" w:after="100" w:afterAutospacing="1"/>
    </w:pPr>
    <w:rPr>
      <w:rFonts w:eastAsia="Times New Roman"/>
    </w:rPr>
  </w:style>
  <w:style w:type="character" w:styleId="a4">
    <w:name w:val="Strong"/>
    <w:basedOn w:val="a0"/>
    <w:uiPriority w:val="22"/>
    <w:qFormat/>
    <w:rsid w:val="00AE4688"/>
    <w:rPr>
      <w:b/>
      <w:bCs/>
    </w:rPr>
  </w:style>
  <w:style w:type="character" w:customStyle="1" w:styleId="20">
    <w:name w:val="Заголовок 2 Знак"/>
    <w:basedOn w:val="a0"/>
    <w:link w:val="2"/>
    <w:uiPriority w:val="9"/>
    <w:rsid w:val="00DF57C2"/>
    <w:rPr>
      <w:rFonts w:ascii="Times New Roman" w:eastAsia="Times New Roman" w:hAnsi="Times New Roman" w:cs="Times New Roman"/>
      <w:b/>
      <w:bCs/>
      <w:sz w:val="36"/>
      <w:szCs w:val="36"/>
      <w:lang w:eastAsia="ru-RU"/>
    </w:rPr>
  </w:style>
  <w:style w:type="character" w:styleId="a5">
    <w:name w:val="Emphasis"/>
    <w:basedOn w:val="a0"/>
    <w:uiPriority w:val="20"/>
    <w:qFormat/>
    <w:rsid w:val="00DF57C2"/>
    <w:rPr>
      <w:i/>
      <w:iCs/>
    </w:rPr>
  </w:style>
  <w:style w:type="character" w:styleId="a6">
    <w:name w:val="Hyperlink"/>
    <w:basedOn w:val="a0"/>
    <w:uiPriority w:val="99"/>
    <w:semiHidden/>
    <w:unhideWhenUsed/>
    <w:rsid w:val="005D772F"/>
    <w:rPr>
      <w:color w:val="0000FF"/>
      <w:u w:val="single"/>
    </w:rPr>
  </w:style>
  <w:style w:type="character" w:customStyle="1" w:styleId="30">
    <w:name w:val="Заголовок 3 Знак"/>
    <w:basedOn w:val="a0"/>
    <w:link w:val="3"/>
    <w:uiPriority w:val="9"/>
    <w:semiHidden/>
    <w:rsid w:val="00AE6AA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F13B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4798149">
      <w:bodyDiv w:val="1"/>
      <w:marLeft w:val="0"/>
      <w:marRight w:val="0"/>
      <w:marTop w:val="0"/>
      <w:marBottom w:val="0"/>
      <w:divBdr>
        <w:top w:val="none" w:sz="0" w:space="0" w:color="auto"/>
        <w:left w:val="none" w:sz="0" w:space="0" w:color="auto"/>
        <w:bottom w:val="none" w:sz="0" w:space="0" w:color="auto"/>
        <w:right w:val="none" w:sz="0" w:space="0" w:color="auto"/>
      </w:divBdr>
    </w:div>
    <w:div w:id="43679195">
      <w:bodyDiv w:val="1"/>
      <w:marLeft w:val="0"/>
      <w:marRight w:val="0"/>
      <w:marTop w:val="0"/>
      <w:marBottom w:val="0"/>
      <w:divBdr>
        <w:top w:val="none" w:sz="0" w:space="0" w:color="auto"/>
        <w:left w:val="none" w:sz="0" w:space="0" w:color="auto"/>
        <w:bottom w:val="none" w:sz="0" w:space="0" w:color="auto"/>
        <w:right w:val="none" w:sz="0" w:space="0" w:color="auto"/>
      </w:divBdr>
    </w:div>
    <w:div w:id="121314534">
      <w:bodyDiv w:val="1"/>
      <w:marLeft w:val="0"/>
      <w:marRight w:val="0"/>
      <w:marTop w:val="0"/>
      <w:marBottom w:val="0"/>
      <w:divBdr>
        <w:top w:val="none" w:sz="0" w:space="0" w:color="auto"/>
        <w:left w:val="none" w:sz="0" w:space="0" w:color="auto"/>
        <w:bottom w:val="none" w:sz="0" w:space="0" w:color="auto"/>
        <w:right w:val="none" w:sz="0" w:space="0" w:color="auto"/>
      </w:divBdr>
    </w:div>
    <w:div w:id="355428345">
      <w:bodyDiv w:val="1"/>
      <w:marLeft w:val="0"/>
      <w:marRight w:val="0"/>
      <w:marTop w:val="0"/>
      <w:marBottom w:val="0"/>
      <w:divBdr>
        <w:top w:val="none" w:sz="0" w:space="0" w:color="auto"/>
        <w:left w:val="none" w:sz="0" w:space="0" w:color="auto"/>
        <w:bottom w:val="none" w:sz="0" w:space="0" w:color="auto"/>
        <w:right w:val="none" w:sz="0" w:space="0" w:color="auto"/>
      </w:divBdr>
    </w:div>
    <w:div w:id="452092405">
      <w:bodyDiv w:val="1"/>
      <w:marLeft w:val="0"/>
      <w:marRight w:val="0"/>
      <w:marTop w:val="0"/>
      <w:marBottom w:val="0"/>
      <w:divBdr>
        <w:top w:val="none" w:sz="0" w:space="0" w:color="auto"/>
        <w:left w:val="none" w:sz="0" w:space="0" w:color="auto"/>
        <w:bottom w:val="none" w:sz="0" w:space="0" w:color="auto"/>
        <w:right w:val="none" w:sz="0" w:space="0" w:color="auto"/>
      </w:divBdr>
      <w:divsChild>
        <w:div w:id="496724356">
          <w:marLeft w:val="0"/>
          <w:marRight w:val="0"/>
          <w:marTop w:val="0"/>
          <w:marBottom w:val="164"/>
          <w:divBdr>
            <w:top w:val="none" w:sz="0" w:space="0" w:color="auto"/>
            <w:left w:val="none" w:sz="0" w:space="0" w:color="auto"/>
            <w:bottom w:val="none" w:sz="0" w:space="0" w:color="auto"/>
            <w:right w:val="none" w:sz="0" w:space="0" w:color="auto"/>
          </w:divBdr>
        </w:div>
      </w:divsChild>
    </w:div>
    <w:div w:id="835538518">
      <w:bodyDiv w:val="1"/>
      <w:marLeft w:val="0"/>
      <w:marRight w:val="0"/>
      <w:marTop w:val="0"/>
      <w:marBottom w:val="0"/>
      <w:divBdr>
        <w:top w:val="none" w:sz="0" w:space="0" w:color="auto"/>
        <w:left w:val="none" w:sz="0" w:space="0" w:color="auto"/>
        <w:bottom w:val="none" w:sz="0" w:space="0" w:color="auto"/>
        <w:right w:val="none" w:sz="0" w:space="0" w:color="auto"/>
      </w:divBdr>
      <w:divsChild>
        <w:div w:id="397242534">
          <w:marLeft w:val="0"/>
          <w:marRight w:val="0"/>
          <w:marTop w:val="0"/>
          <w:marBottom w:val="164"/>
          <w:divBdr>
            <w:top w:val="none" w:sz="0" w:space="0" w:color="auto"/>
            <w:left w:val="none" w:sz="0" w:space="0" w:color="auto"/>
            <w:bottom w:val="none" w:sz="0" w:space="0" w:color="auto"/>
            <w:right w:val="none" w:sz="0" w:space="0" w:color="auto"/>
          </w:divBdr>
        </w:div>
      </w:divsChild>
    </w:div>
    <w:div w:id="974289990">
      <w:bodyDiv w:val="1"/>
      <w:marLeft w:val="0"/>
      <w:marRight w:val="0"/>
      <w:marTop w:val="0"/>
      <w:marBottom w:val="0"/>
      <w:divBdr>
        <w:top w:val="none" w:sz="0" w:space="0" w:color="auto"/>
        <w:left w:val="none" w:sz="0" w:space="0" w:color="auto"/>
        <w:bottom w:val="none" w:sz="0" w:space="0" w:color="auto"/>
        <w:right w:val="none" w:sz="0" w:space="0" w:color="auto"/>
      </w:divBdr>
    </w:div>
    <w:div w:id="1061826242">
      <w:bodyDiv w:val="1"/>
      <w:marLeft w:val="0"/>
      <w:marRight w:val="0"/>
      <w:marTop w:val="0"/>
      <w:marBottom w:val="0"/>
      <w:divBdr>
        <w:top w:val="none" w:sz="0" w:space="0" w:color="auto"/>
        <w:left w:val="none" w:sz="0" w:space="0" w:color="auto"/>
        <w:bottom w:val="none" w:sz="0" w:space="0" w:color="auto"/>
        <w:right w:val="none" w:sz="0" w:space="0" w:color="auto"/>
      </w:divBdr>
    </w:div>
    <w:div w:id="1127697220">
      <w:bodyDiv w:val="1"/>
      <w:marLeft w:val="0"/>
      <w:marRight w:val="0"/>
      <w:marTop w:val="0"/>
      <w:marBottom w:val="0"/>
      <w:divBdr>
        <w:top w:val="none" w:sz="0" w:space="0" w:color="auto"/>
        <w:left w:val="none" w:sz="0" w:space="0" w:color="auto"/>
        <w:bottom w:val="none" w:sz="0" w:space="0" w:color="auto"/>
        <w:right w:val="none" w:sz="0" w:space="0" w:color="auto"/>
      </w:divBdr>
    </w:div>
    <w:div w:id="1166433972">
      <w:bodyDiv w:val="1"/>
      <w:marLeft w:val="0"/>
      <w:marRight w:val="0"/>
      <w:marTop w:val="0"/>
      <w:marBottom w:val="0"/>
      <w:divBdr>
        <w:top w:val="none" w:sz="0" w:space="0" w:color="auto"/>
        <w:left w:val="none" w:sz="0" w:space="0" w:color="auto"/>
        <w:bottom w:val="none" w:sz="0" w:space="0" w:color="auto"/>
        <w:right w:val="none" w:sz="0" w:space="0" w:color="auto"/>
      </w:divBdr>
    </w:div>
    <w:div w:id="1210996166">
      <w:bodyDiv w:val="1"/>
      <w:marLeft w:val="0"/>
      <w:marRight w:val="0"/>
      <w:marTop w:val="0"/>
      <w:marBottom w:val="0"/>
      <w:divBdr>
        <w:top w:val="none" w:sz="0" w:space="0" w:color="auto"/>
        <w:left w:val="none" w:sz="0" w:space="0" w:color="auto"/>
        <w:bottom w:val="none" w:sz="0" w:space="0" w:color="auto"/>
        <w:right w:val="none" w:sz="0" w:space="0" w:color="auto"/>
      </w:divBdr>
    </w:div>
    <w:div w:id="1211500604">
      <w:bodyDiv w:val="1"/>
      <w:marLeft w:val="0"/>
      <w:marRight w:val="0"/>
      <w:marTop w:val="0"/>
      <w:marBottom w:val="0"/>
      <w:divBdr>
        <w:top w:val="none" w:sz="0" w:space="0" w:color="auto"/>
        <w:left w:val="none" w:sz="0" w:space="0" w:color="auto"/>
        <w:bottom w:val="none" w:sz="0" w:space="0" w:color="auto"/>
        <w:right w:val="none" w:sz="0" w:space="0" w:color="auto"/>
      </w:divBdr>
    </w:div>
    <w:div w:id="1337538344">
      <w:bodyDiv w:val="1"/>
      <w:marLeft w:val="0"/>
      <w:marRight w:val="0"/>
      <w:marTop w:val="0"/>
      <w:marBottom w:val="0"/>
      <w:divBdr>
        <w:top w:val="none" w:sz="0" w:space="0" w:color="auto"/>
        <w:left w:val="none" w:sz="0" w:space="0" w:color="auto"/>
        <w:bottom w:val="none" w:sz="0" w:space="0" w:color="auto"/>
        <w:right w:val="none" w:sz="0" w:space="0" w:color="auto"/>
      </w:divBdr>
    </w:div>
    <w:div w:id="1511262169">
      <w:bodyDiv w:val="1"/>
      <w:marLeft w:val="0"/>
      <w:marRight w:val="0"/>
      <w:marTop w:val="0"/>
      <w:marBottom w:val="0"/>
      <w:divBdr>
        <w:top w:val="none" w:sz="0" w:space="0" w:color="auto"/>
        <w:left w:val="none" w:sz="0" w:space="0" w:color="auto"/>
        <w:bottom w:val="none" w:sz="0" w:space="0" w:color="auto"/>
        <w:right w:val="none" w:sz="0" w:space="0" w:color="auto"/>
      </w:divBdr>
    </w:div>
    <w:div w:id="1593274760">
      <w:bodyDiv w:val="1"/>
      <w:marLeft w:val="0"/>
      <w:marRight w:val="0"/>
      <w:marTop w:val="0"/>
      <w:marBottom w:val="0"/>
      <w:divBdr>
        <w:top w:val="none" w:sz="0" w:space="0" w:color="auto"/>
        <w:left w:val="none" w:sz="0" w:space="0" w:color="auto"/>
        <w:bottom w:val="none" w:sz="0" w:space="0" w:color="auto"/>
        <w:right w:val="none" w:sz="0" w:space="0" w:color="auto"/>
      </w:divBdr>
    </w:div>
    <w:div w:id="1783525570">
      <w:bodyDiv w:val="1"/>
      <w:marLeft w:val="0"/>
      <w:marRight w:val="0"/>
      <w:marTop w:val="0"/>
      <w:marBottom w:val="0"/>
      <w:divBdr>
        <w:top w:val="none" w:sz="0" w:space="0" w:color="auto"/>
        <w:left w:val="none" w:sz="0" w:space="0" w:color="auto"/>
        <w:bottom w:val="none" w:sz="0" w:space="0" w:color="auto"/>
        <w:right w:val="none" w:sz="0" w:space="0" w:color="auto"/>
      </w:divBdr>
    </w:div>
    <w:div w:id="1867979861">
      <w:bodyDiv w:val="1"/>
      <w:marLeft w:val="0"/>
      <w:marRight w:val="0"/>
      <w:marTop w:val="0"/>
      <w:marBottom w:val="0"/>
      <w:divBdr>
        <w:top w:val="none" w:sz="0" w:space="0" w:color="auto"/>
        <w:left w:val="none" w:sz="0" w:space="0" w:color="auto"/>
        <w:bottom w:val="none" w:sz="0" w:space="0" w:color="auto"/>
        <w:right w:val="none" w:sz="0" w:space="0" w:color="auto"/>
      </w:divBdr>
    </w:div>
    <w:div w:id="1880122229">
      <w:bodyDiv w:val="1"/>
      <w:marLeft w:val="0"/>
      <w:marRight w:val="0"/>
      <w:marTop w:val="0"/>
      <w:marBottom w:val="0"/>
      <w:divBdr>
        <w:top w:val="none" w:sz="0" w:space="0" w:color="auto"/>
        <w:left w:val="none" w:sz="0" w:space="0" w:color="auto"/>
        <w:bottom w:val="none" w:sz="0" w:space="0" w:color="auto"/>
        <w:right w:val="none" w:sz="0" w:space="0" w:color="auto"/>
      </w:divBdr>
    </w:div>
    <w:div w:id="1934703291">
      <w:bodyDiv w:val="1"/>
      <w:marLeft w:val="0"/>
      <w:marRight w:val="0"/>
      <w:marTop w:val="0"/>
      <w:marBottom w:val="0"/>
      <w:divBdr>
        <w:top w:val="none" w:sz="0" w:space="0" w:color="auto"/>
        <w:left w:val="none" w:sz="0" w:space="0" w:color="auto"/>
        <w:bottom w:val="none" w:sz="0" w:space="0" w:color="auto"/>
        <w:right w:val="none" w:sz="0" w:space="0" w:color="auto"/>
      </w:divBdr>
    </w:div>
    <w:div w:id="1957521013">
      <w:bodyDiv w:val="1"/>
      <w:marLeft w:val="0"/>
      <w:marRight w:val="0"/>
      <w:marTop w:val="0"/>
      <w:marBottom w:val="0"/>
      <w:divBdr>
        <w:top w:val="none" w:sz="0" w:space="0" w:color="auto"/>
        <w:left w:val="none" w:sz="0" w:space="0" w:color="auto"/>
        <w:bottom w:val="none" w:sz="0" w:space="0" w:color="auto"/>
        <w:right w:val="none" w:sz="0" w:space="0" w:color="auto"/>
      </w:divBdr>
    </w:div>
    <w:div w:id="2075925480">
      <w:bodyDiv w:val="1"/>
      <w:marLeft w:val="0"/>
      <w:marRight w:val="0"/>
      <w:marTop w:val="0"/>
      <w:marBottom w:val="0"/>
      <w:divBdr>
        <w:top w:val="none" w:sz="0" w:space="0" w:color="auto"/>
        <w:left w:val="none" w:sz="0" w:space="0" w:color="auto"/>
        <w:bottom w:val="none" w:sz="0" w:space="0" w:color="auto"/>
        <w:right w:val="none" w:sz="0" w:space="0" w:color="auto"/>
      </w:divBdr>
    </w:div>
    <w:div w:id="2110662048">
      <w:bodyDiv w:val="1"/>
      <w:marLeft w:val="0"/>
      <w:marRight w:val="0"/>
      <w:marTop w:val="0"/>
      <w:marBottom w:val="0"/>
      <w:divBdr>
        <w:top w:val="none" w:sz="0" w:space="0" w:color="auto"/>
        <w:left w:val="none" w:sz="0" w:space="0" w:color="auto"/>
        <w:bottom w:val="none" w:sz="0" w:space="0" w:color="auto"/>
        <w:right w:val="none" w:sz="0" w:space="0" w:color="auto"/>
      </w:divBdr>
      <w:divsChild>
        <w:div w:id="1355959555">
          <w:marLeft w:val="0"/>
          <w:marRight w:val="0"/>
          <w:marTop w:val="0"/>
          <w:marBottom w:val="164"/>
          <w:divBdr>
            <w:top w:val="none" w:sz="0" w:space="0" w:color="auto"/>
            <w:left w:val="none" w:sz="0" w:space="0" w:color="auto"/>
            <w:bottom w:val="none" w:sz="0" w:space="0" w:color="auto"/>
            <w:right w:val="none" w:sz="0" w:space="0" w:color="auto"/>
          </w:divBdr>
        </w:div>
      </w:divsChild>
    </w:div>
    <w:div w:id="21423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10794</Words>
  <Characters>61530</Characters>
  <Application>Microsoft Office Word</Application>
  <DocSecurity>0</DocSecurity>
  <Lines>512</Lines>
  <Paragraphs>144</Paragraphs>
  <ScaleCrop>false</ScaleCrop>
  <Company>SPecialiST RePack</Company>
  <LinksUpToDate>false</LinksUpToDate>
  <CharactersWithSpaces>72180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dcterms:created xsi:type="dcterms:W3CDTF">2023-10-30T05:37:00Z</dcterms:created>
  <dcterms:modified xsi:type="dcterms:W3CDTF">2023-10-30T08:55:00Z</dcterms:modified>
</cp:coreProperties>
</file>