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F4" w:rsidRPr="00C508F4" w:rsidRDefault="00C508F4" w:rsidP="00C508F4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Годовой отчет о ходе реализации и оценке эффективности муниципальной программы «Повышение эффективности развития молодежной политики и совершенствование системы оздоровления и отдыха детей в Пристенском районе Курской области на 2020-2022 годы» за 2020 год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Муниципальная программа  «Повышение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 имеет 2 подпрограммы.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        В 2020 году в муниципальную программу были внесены изменения постановлением Администрации Пристенского района Курской области от 29.12.2020  № 662-па «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О внесении изменений  в муниципальную программу Пристенского района Курской области «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Повышение эффективности развития молодежной  политики и совершенствование системы оздоровления и отдыха детей в 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на 2020-2022 годы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»,  утвержденную постановлением Администрации  Пристенского района Курской области от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27.11.2019 №  676-па (в ред. от 14.01.2020 № 22-па)»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Данные изменения были внесены в связи с решениеями Представительного Собрания Пристенского района Курской области четвертого созыва от  20 декабря 2019 года №12/78 «О бюджете муниципального района «Пристенский район» Курской области на 2020 год и на плановый период 2021-2023 годов» (в редакции от 25 декабря 2020 года № 16/76), Решением Представительного Собрания Пристенского района Курской области четвертого созыва «О бюджете муниципального района «Пристенский район»  Курской  области на 2021 год и на плановый период 2022 и 2023 годов» от 25 декабря 2020 г. № 16/74,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Подпрограмма 1 «Повышение эффективности реализации молодежной политики в Пристенском районе Курской области»;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Подпрограмма 2 «Оздоровление и отдых детей Пристенского района Курской области»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Целью  подпрограммы 1 «Повышение эффективности реализации молодежной политики в Пристенском районе Курской области»» муниципальной программы 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«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Повышение эффективности развития молодежной  политики и совершенствование системы оздоровления и отдыха детей в 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на 2020-2022 годы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»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является  повышение эффективности реализации молодежной политики.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Главными задачами  подпрограммы 1  являются: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1) создание условий для вовлечения молодежи в активную общественную деятельность;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2) создание условий для поддержки талантливой молодёжи;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3) гражданско-патриотическое воспитание и допризывная подготовка молодежи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Целевые индикаторами  и показатели подпрограммы: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 возрасте от 14 до 35 лет, принимающих участие в добровольческой деятельности, в общей численности молодежи  Пристенского района в возрасте от 14 до 35 лет;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возрасте от 14 до 35 лет, участвующих в деятельности патриотических объединений, клубов, в общем количестве молодежи  Пристенского района в возрасте от 14 до 35 лет;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 возрасте от 14 до 35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в возрасте от 14 до 35 лет.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Ожидаемые результаты реализации подпрограммы будет способствовать созданию необходимых условий для повышения эффективности государственной молодежной политики на территории Пристенского района Курской области.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рамках реализации подпрограммы 1 по итогам 2020 года достигнуты следующие результаты: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увеличение удельного веса численности молодых людей в возрасте 14-30 лет, участвующей в добровольческой деятельности, в общем количестве молодежи в Пристенском районе  Курской области  до 13,8%  (286);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увеличение удельного веса численности молодых людей в возрасте 14-30 лет, участвующих в деятельности патриотических объединений, клубов, в общем количестве молодежи  Пристенского района Курской области в возрасте от 14 до 30 лет до 11,8 % (245);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-увеличение удельного веса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молодежи Пристенского района Курской области в возрасте от 14 до 30 лет до 24% (498).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о 30 лет, принимающих участие в добровольческой деятельности, в общей численности молодых людей от 14 до 30 лет, проживающих на территории Пристенского района Курской области: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В/А*100%, 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– численность молодых людей в возрасте от 14 о 30 лет, принимающих участие в добровольческой деятельности;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районаКурской области,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286х100: 2075=13,8%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2019 году:13,6%-408 человек, в 2020 году:13,8%-286 человек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участвующих в деятельности патриотических объединений, клубов в общем числе количестве молодежи Пристенского района Курской области в возрасте от 14 до 30 лет.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участвующих в деятельности патриотических объединений, клубов  в общей численности молодых людей от 14 до 30 лет, проживающих на территории Пристенского района Курской области: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В/А*100%, 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– численность молодых людей в возрасте от 14 до 30 лет, участвующих в деятельности патриотических объединений, клубов;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 Курской области,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245х100: 2075=11,8%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2019 году: 11,6% -348 человек, в 2020 году: 11,8% - 245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удельный вес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 в общей численности молодёжи Пристенского района Курской области в возрасте от 14 до 30 лет.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Целевой показатель определяется как отношение численности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молодёжи,  в общей численности молодых людей от 14 до 30 лет, проживающих на территории Пристенского района Курской области: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В/А*100%, 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– численность молодых людей в возрасте от 14 до 30 лет, вовлечённых в реализуемые органами местного самоуправления проекты и программы в сфере поддержки талантливой молодёжи 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молодых людей от 14 до 30 лет, проживающих на территории Пристенского района,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498х100:2075=24%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2019 году:23,5% -705 человек, в 2020 году:24%-498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Реализация подпрограммы 1 будет способствовать созданию необходимых условий для повышения эффективности молодежной политики.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«Отдел культуры и молодёжной политики» ведет активную работу по развитию сети детских и молодежных общественных организаций различных направлений деятельности (экологическая, поисковая, спортивная, журналистская, интеллектуально - творческая деятельность, краеведение, развитие физической подготовки и т.п.), где особое внимание уделяет созданию и развитию патриотических клубов. На территории Пристенского района действует 2 военно-патриотических клуба.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целях военно-патриотического воспитания, совместно с военным комиссариатом проводится районная военно-спортивная игра: «Зарница», которая стала уже  традиционным мероприятием.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Деятельность добровольческих (волонтерских) отрядов в Пристенском районе Курской области, созданных на базах МКОУ Пристенского района Курской области, координирует, созданный в сентябре 2018 года, Координационный совет добровольческого (волонтерского) движения Пристенского района Курской области, под председательством Главы Пристенского района Курской области, Петрова В.В. В июле 2018 года был открыт штаб «Волонтеров Победы», председателем штаба назначена Колесникова И.В., руководитель в/о «Юный волонтер». По направлению культурного волонтерстваработаютребята из в/о «Твори добро» под руководством Мамедовой Ю.В. В целом ведется работа по всем направлениям добровольчества на территории Пристенского района Курской области (социальное, экологической, событийное и т.д.). В 2020 году ряды волонтеров пополнились более чем на 160 человек. Участники добровольческого (волонтерского) движения нашего района активно  приняли участие   в таких  акциях как:«Дорога к обелиску», «Бессмертный полк»,  «Свеча Памяти», «Георгиевская ленточка», «Улыбка Юрия Гагарина», «Помощь ветерану», «Вахта Памяти», «Чистое село», «Сообщи, где торгуют смертью!».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районе активно работает Пристенская районная детская общественная организация «Содружество», которая является членом  Курского союза детских и пионерских организаций. 17 детских объединений работают в общеобразовательных учреждениях района. Количество членов  детских объединений района –640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Численность  молодых людей, участвующих в деятельности патриотических объединений, клубов составила более 498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На базе отдела «Отдел культуры и молодёжной политики» создан поисковый отряд «Новое поколение».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      В период поисковой экспедиции «Вахта памяти-2020», на территории Пристенского района Курской области были подняты останки шестнадцати бойцов Советской Армии. Раскопки проводились в 6 населенных пунктах района. В экспедиции приняли участие 3 поисковых отряда: «Курская Земля» г. Курск (рук. Сукманова Елена Валентиновна), «Новое поколение» МКОУ «СОШ №2 пос. Пристень» (рук. Оспищева Светлана Васильевна), «Курская дружина» Курского Государственного университета (рук. Рагунштейн Арсений Григорьевич).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Сотрудниками отдела проводится работа по организации оказания помощи пожилым людям, ветеранам войны и труда, инвалидам.    Работники отдела, совместно с работниками домов культуры, детьми и молодежью проводят  «акции  добра», «визиты вежливости»  с посещением данных категорий жителей на дому. Так, например, работники и участники самодеятельности МКУК «Бобрышевский ЦСДК» посетили пожилых людей и оказали им помощь в уборке двора, показали номера художественной самодеятельности.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Проводились профилактические антиалкогольные и антиникотиновые мероприятия: беседа к Дню трезвости «Просто скажи Нет!» (Котовский ЦСДК), час здоровья «Курить – не значит быть взрослым» (Еринский СК), информационная программа «Мы не курим и вам не советуем» (Сазановский ЦСДК).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На особый контроль, в рамках проведения совместной профилактической работы отделом культуры и молодёжной политики и управлением образования Администрации Пристенского района, поставлена работа по привлечению в организацию досуга детей, находящихся в трудной жизненной ситуации, в социально - опасном положении, стоящих на учете комиссии по делам несовершеннолетних и т.п.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Значимыми событиями года стали </w:t>
      </w:r>
      <w:r w:rsidRPr="00C508F4">
        <w:rPr>
          <w:rFonts w:ascii="Tahoma" w:eastAsia="Times New Roman" w:hAnsi="Tahoma" w:cs="Tahoma"/>
          <w:b/>
          <w:bCs/>
          <w:i/>
          <w:iCs/>
          <w:color w:val="000000"/>
          <w:sz w:val="13"/>
        </w:rPr>
        <w:t>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открытие  Года здоровья на базе физкультурно-оздоровительного комплекса «Русич» (14 января) и 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соревнования по велосипедному спорту шоссе «Мемориал Е.П. Клевцова» (27 сентября). Эти мероприятия проходили под патронажем Администрации Пристенского района и были на контроле в Администрации Курской области.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В районе созданы и действуют общественные патриотические организации:  Пристенское районное отделение Всероссийской общественной организации ветеранов «Боевое братство», Пристенское отделение  Курской региональной общественной организации воинов-пограничников запаса «Зеленый легион», на базе общеобразовательных школ созданы отряды Всероссийского молодежного движения «Юнармия», «Молодая гвардия», «Волонтер».       С этими общественными организациями  «Отдел культуры и молодёжной политики» поддерживает тесную связь.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       Пристенским районным отделением Всероссийской общественной организации ветеранов «Боевое братство» ежегодно проводится районный конкурс-фестиваль солдатской песни «Виктория». Последние годы фестиваль солдатской песни проводится совместно с конкурсом художественного чтения.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       В феврале 2020 года был  проведен  очередной ежегодный шестой районный конкурс-фестиваль солдатской песни «Виктория» и конкурс  художественного чтения «От героев былых времен».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       В этом году в конкурсе-фестивале  приняли участие  учащиеся школ, участники самодеятельности учреждений культуры, представители организаций и предприятий, всего 72 конкурсанта, в том числе 27  участников из 11 учреждений культуры района.   Конкурс  проводился  в трех возрастных категориях, трех номинациях («патриотическая песня» (соло, ансамбли), «афганская песня» (автор-исполнитель, исполнитель, ансамбли), «художественное чтение» (стихи, проза). Все участники награждены дипломами 1, 2, 3 степени и дипломами за участие. Победители конкурса приняли участие в районном торжественно-праздничном мероприятии «Наша память и боль», посвященном Дню памяти воинов, исполнявших служебный долг за пределами Отечества.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2020 год для нашей страны являлся юбилейным- 75-летие Великой Победы. В День Победы отдаем дань памяти героям, защитившим нашу страну и весь мир. Они жертвовали своими жизнями, чтобы спасти наши, чтобы обеспечить будущее Родины. Они сражались ради жизни.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Но риски, связанные с эпидемией, пик которой был не пройден, были чрезвычайно высоки. Это обстоятельство привело к тому, что массовые , публичные мероприятия были переведены в формат онлайн, но это не помешало активному участию в них молодежи. Были проведены следующие акции: «Георгиевская ленточка», Всероссийский проект «Памяти Героев», Всероссийский проект «Судьба солдата»,  «Бессмертный полк - онлайн», телефонное поздравление ветерана, «Наследники Победы», «Мирные окна».   В День памяти и скорби (22 июня) был проведен  митинг и акция «Свеча памяти» и т.д.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Был проведен цикл мероприятий,  направленных на снижение употребления молодежью, подростками алкогольных напитков, табачных изделий, мероприятия несущие в себе пропаганду здорового образа жизни.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Совместно с отделом по физической культуры и спорта проведен целый ряд спортивных соревнований по волейболу «Спорт-залог здоровья!», футболу «В здоровом теле-здоровый дух», на базе ФОК «Русич» прошел чемпионат по мини-футболу, чемпионат по баскетболу среди женских команд.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Подпрограмма 2 «Оздоровление и отдых детей Пристенского района Курской области»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Цели и задачи подпрограммы 2: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-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создание условий, направленных на развитие системы оздоровления и отдыха детей Пристенского района Курской области.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организация оздоровления и отдыха детей Пристенского района Курской области;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развитие специализированных видов отдыха детей; совершенствование кадрового и информационно - методического обеспечения организации оздоровления и отдыха детей.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Целевые показатели и индикаторы: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доля детей, оздоровленных в текущем году, в загородных оздоровительных лагерях, в общей численности детей в возрасте от 7 до 18 лет (не менее 3%);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доля детей, оздоровленных в текущем году в лагерях с дневным пребыванием, в общей численности детей в возрасте   от 7 до 15 лет (не менее 20%);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Ожидаемые конечные результаты реализации Подпрограммы 3 и показатели эффективности реализации Подпрограммы 3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сохранение доли оздоровленных детей в загородных оздоровительных лагерях от числа детей от 7 до 18 лет;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сохранение доли оздоровленных детей в лагерях с дневным пребыванием детей от числа детей от 7 до 15 лет;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сохранение доли оздоровленных детей, находящихся в трудной жизненной ситуации.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рамках реализации подпрограммы по итогам 2020 года достигнуты следующие результаты: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  доля детей, оздоровленных  в текущем году, в загородных оздоровительных лагерях, в общей численности детей в возрасте от 7 до 18 лет. Показатель определяется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В/А*100 %, 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загородных оздоровительных лагерях Курской области, человек;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18 лет),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Всего детей, оздоровленных  в детских оздоровительных лагерях Курской области   25 детей, что составило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25: 1649х100 (детей от 7 до 18 лет) =1,5%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2019 году: 3,04% - 50 человек, в 2020 году:1,5% - 25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связи с эпидемиологической ситуацией и на основании дополнительного соглашения №1 к Соглашению № 19 от 29.02.2020 года о предоставлении в 2020 году/2021-2022 годах субсидии из областного бюджета местному бюджету муниципального образования «Пристенский район» на софинансирование расходного обязательства муниципального образования, связанного с организацией отдыха детей в каникулярное время, показатель выполнен на 100%.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Динамика данного показателя по годам реализации подпрограммы 2 муниципальной программы складывается в результате реализации в Пристенском районе Курской области мер по повышению уровня адресности предоставления путевок населению с детьми, в том числе путем совершенствования: региональной нормативной правовой базы, определяющей контингенты получателей, условия и критерии предоставления путевок.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i/>
          <w:iCs/>
          <w:color w:val="000000"/>
          <w:sz w:val="13"/>
        </w:rPr>
        <w:t>-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доля детей, оздоровленных в текущем году в лагерях с дневным пребыванием, в общей  численности детей в возрасте от 7 до 15 лет.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В/А*100 %, 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- численность оздоровленных детей Пристенского района Курской области в лагерях с дневным пребыванием детей  Пристенского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детей Пристенского района Курской области школьного возраста (от 7 до 15 лет),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246:1229 х100 (детей от 7 до 15 лет) = 20,02%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2019 году: 20% - 251 человека, в 2020 году: 20,02% - 246 человек, показатель выполнен на 100%.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Показатель рассчитывается на основе данных отдела социальной защиты населения Пристенского района Курской области.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Показатель определяется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В/А*100 %, 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- численность оздоровленных детей Пристенского района, находящихся в трудной жизненной ситуации, человек;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А – общая численность детей Пристенского района, находящихся в трудной жизненной ситуации,  подлежащих оздоровлению в текущем году, человек.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81х100:149=54%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2019 год:54,88%-225 человек, в 2020 году-54 %-184 человека, показатель выполнен на 100%.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соответствии с Федеральным законом от 24.08.1998 г. «Об основных гарантиях прав ребенка в Российской Федерации» Администрацией Пристенского района Курской области принято постановление №143-па от 26.02.2020 г. «Об организации оздоровления, отдыха и занятости детей, подростков и молодежи в Пристенском районе Курской области в 2020 году ». Целевые  показатели эффективности мероприятий по организации и обеспечению отдыха и оздоровления детей выполнены в полном объеме.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 Соглашение №19 от 29.02.2020 года, заключенное между Администрацией Пристенского района Курской области и комитетом по делам молодежи и туризму Курской области «О представлении субсидий бюджету муниципального образования «Пристенский район  Курской области» на софинансирование расходных обязательств, связанных с организацией отдыха детей в каникулярное время» выполнено в полном объеме. Взятые обязательства направлены на улучшение качества жизни населения. Денежные средства в сумме 845,852  тыс. рублей из местного бюджета освоены полностью, как и областные средства 539,428  тыс. рублей. Всего на приобретение путевок в оздоровительный лагерь  и оплату стоимости набора продуктов  для двухразового питания  детей в лагерях с дневным пребыванием профинансировано 1385,280 тыс. рублей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 результатам проведения аукциона для оздоровления детей в каникулярное время в загородных оздоровительных лагерях Курской области был определен детский оздоровительный лагерь «Орленок» КРОО ОЦ «Монолит» Пристенского района Курской области. Администрацией Пристенского района Курской области было закуплено 25 путевок на I смену в ДОЛ «Орленок» КРОО «ОЦ «Монолит» из них 11 для детей категории ТЖС.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При школах района была организована работа 5 лагерей с дневным пребыванием, в которых отдохнуло 246 детей (в возрасте от 7 до 15 лет), 81 из них - дети, находящиеся в трудной жизненной ситуации. В лагерях с дневным пребыванием были созданы  условия  обеспечения безопасности жизни и здоровья детей, предупреждения детского травматизма.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Победители олимпиад, конкурсов, активисты детских и молодежных объединений, спортсмены  - 72 человек (из них 30 категории ТЖС) отдохнули за счет средств областного бюджета в профильных лагерях «Заря» ОЦ «Монолит», «Орленок»  ОЦ «Монолит», СОЦ «им. В. Терешковой», «Магистр», «Комсорг».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санаторно - оздоровительных организациях Курской области за счет средств областного бюджета отдохнули 24 ребенка (11 из них – дети, находящиеся в трудной жизненной ситуации).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Соглашение «Об организации оздоровления и отдыха детей  Пристенского района Курской области» от 20.03.2020 года выполнено в полном объеме и своевременно.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период летней оздоровительной кампании районная межведомственная комиссия по организации оздоровления, отдыха и занятости детей, подростков и молодежи провела 9 заседаний.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По детям категории ТЖС Администрация Пристенского района плотно работает с органами соц. защиты, органами опеки, управлением образования. В данной области имеются проблемы касающиеся родителей, опекунов, попечителей, которые трудно идут на контакт, показывают нежелание отправки, сбора детей в оздоровительные организации и лагеря отдыха, объясняя это отсутствием времени прохождения с ребенком мед.комиссии, учебой в школе ребенка, а иногда и просто своей ленью. С такими родителями и детьми ведется пояснительная работа, выезды к месту проживания таких семей.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Дети, отдохнувшие в детских оздоровительных лагерях отметили, что ежедневно в течение смены проводились разнообразные спортивные, культурно - развлекательные мероприятия, на которых мог проявить себя каждый ребенок. Программы смен были очень насыщенными и оставили массу положительных отзывов у детей. Родители обращались в устной форме со словами благодарности и в адрес оздоровительного лагеря, и в адрес педагогического состава, отмечая высокую дисциплину и безопасность на территории оздоровительных учреждений. Жалоб со стороны родителей не поступало.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Страховых случаев в период пребывания детей в оздоровительных лагерях  не зарегистрировано.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Вопросы организации отдыха, оздоровления и занятости детей, подростков и молодежи находились на первоочередном контроле в Администрации Пристенского района Курской области.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Сведения о показателях (индикаторах) муниципальной программы Пристенского района Курской области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«Повышение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 за 2020 год.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Оценка степени достижения целей и решения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задач подпрограмм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Степень достижения планового значения показателя (индикатора) рассчитывается по следующим формулам: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увеличение значений: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= ЗП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п/пф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/ ЗП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для показателей (индикаторов), желаемой тенденцией развития которых является снижение значений: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= ЗП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/ ЗП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п/пф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(индикатора, характеризующего цели и задачи подпрограммы);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ЗП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п/пф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ЗП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плановое значение показателя (индикатора), характеризующего цели и задачи подпрограммы.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tbl>
      <w:tblPr>
        <w:tblW w:w="66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91"/>
        <w:gridCol w:w="2755"/>
        <w:gridCol w:w="691"/>
        <w:gridCol w:w="754"/>
        <w:gridCol w:w="898"/>
        <w:gridCol w:w="1211"/>
      </w:tblGrid>
      <w:tr w:rsidR="00C508F4" w:rsidRPr="00C508F4" w:rsidTr="00C508F4">
        <w:trPr>
          <w:tblCellSpacing w:w="0" w:type="dxa"/>
        </w:trPr>
        <w:tc>
          <w:tcPr>
            <w:tcW w:w="3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№ п/п</w:t>
            </w:r>
          </w:p>
        </w:tc>
        <w:tc>
          <w:tcPr>
            <w:tcW w:w="30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Наименование показателя (индикатора)</w:t>
            </w:r>
          </w:p>
        </w:tc>
        <w:tc>
          <w:tcPr>
            <w:tcW w:w="6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Ед.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измерения</w:t>
            </w:r>
          </w:p>
        </w:tc>
        <w:tc>
          <w:tcPr>
            <w:tcW w:w="33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Значения показателей в 2020 году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плановые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фактические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причины расхождения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(план-факт)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6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72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 xml:space="preserve">Повышение  эффективности развития молодежной политики и совершенствование системы оздоровления и </w:t>
            </w:r>
            <w:r w:rsidRPr="00C508F4">
              <w:rPr>
                <w:rFonts w:eastAsia="Times New Roman"/>
                <w:b/>
                <w:bCs/>
                <w:sz w:val="13"/>
              </w:rPr>
              <w:lastRenderedPageBreak/>
              <w:t>отдыха детей в Пристенском районе Курской области на 2020-2022 годы»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lastRenderedPageBreak/>
              <w:t>1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вовлечённых в социально-значимую деятельность, в общейчисленностимолодыхлюдейот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27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27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долядетей, оздоровленных в рамкахмерсоциальнойподдержки, в общейчисленностидетейшкольноговозраста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29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29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72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Подпрограмма 1 «Повышение эффективности реализации молодежной политики в Пристенском районе Курской области» 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принимающихучастие в добровольческойдеятельности, в общейчисленностимолодежиПристенского района Курскойобласти в возрастеот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13,8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13,8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5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участвующих в деятельностипатриотическихобъединений, клубов в общемколичествемолодежиПристенского района Курскойобласти в возрастеот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11,8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11,8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6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удельныйвесчисленностимолодыхлюдей в возрастеот 14 до 30 лет, вовлечённых в реализуемые органами местного самоуправления проекты и программы в сфере поддержки талантливой молодёжи, общей численности молодежи Пристенского района Курской области в возрасте от 14 до 30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726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Подпрограмма 2 «Оздоровление и отдых детей Пристенского района Курской области»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10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долядетей, оздоровленных в текущем году, в загородных оздоровительных лагерях, в общей численности детей в возрастеот7до 18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не менее 3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согласно дополнительному соглашению показатель уменьшен на 1,5%, в связи с COVID-19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11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долядетей, оздоровленных в текущем году в лагерях с дневным пребыванием, в общей численности детей в возрасте от7до 15 лет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не менее 20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20,02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-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3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12</w:t>
            </w:r>
          </w:p>
        </w:tc>
        <w:tc>
          <w:tcPr>
            <w:tcW w:w="30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доля оздоровленных детей, находящихся в трудной жизненной ситуации, от численности детей, находящихся в трудной жизненной ситуации, подлежащих оздоровлению, в текущем году</w:t>
            </w:r>
          </w:p>
        </w:tc>
        <w:tc>
          <w:tcPr>
            <w:tcW w:w="6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54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54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-</w:t>
            </w: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2524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2348"/>
        <w:gridCol w:w="176"/>
      </w:tblGrid>
      <w:tr w:rsidR="00C508F4" w:rsidRPr="00C508F4" w:rsidTr="00C508F4">
        <w:trPr>
          <w:tblCellSpacing w:w="0" w:type="dxa"/>
        </w:trPr>
        <w:tc>
          <w:tcPr>
            <w:tcW w:w="135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                      ИНФОРМАЦИЯ  исполнении муниципальной программы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     муниципального района "Пристенский район" Курской области за 2020 год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tbl>
            <w:tblPr>
              <w:tblW w:w="756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43"/>
              <w:gridCol w:w="1045"/>
              <w:gridCol w:w="1220"/>
              <w:gridCol w:w="1084"/>
              <w:gridCol w:w="1068"/>
            </w:tblGrid>
            <w:tr w:rsidR="00C508F4" w:rsidRPr="00C508F4">
              <w:trPr>
                <w:tblCellSpacing w:w="0" w:type="dxa"/>
              </w:trPr>
              <w:tc>
                <w:tcPr>
                  <w:tcW w:w="35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Наименование 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ЦСР </w:t>
                  </w:r>
                </w:p>
              </w:tc>
              <w:tc>
                <w:tcPr>
                  <w:tcW w:w="12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Сумма                 на 2020 год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Факт               на 2020 год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Процент исполнения расходов,  %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35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 xml:space="preserve">Муниципальная программа  «Повышение  эффективности развития молодежной политики и </w:t>
                  </w: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lastRenderedPageBreak/>
                    <w:t>совершенствование системы оздоровления и отдыха детей в Пристенском районе Курской области на 2020-2022 годы»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lastRenderedPageBreak/>
                    <w:t>18</w:t>
                  </w:r>
                </w:p>
              </w:tc>
              <w:tc>
                <w:tcPr>
                  <w:tcW w:w="12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1749,560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1748,597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35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lastRenderedPageBreak/>
                    <w:t>Подпрограмма «Повышение эффективности реализации молодежной политики в Пристенском районе Курской области»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18</w:t>
                  </w:r>
                </w:p>
              </w:tc>
              <w:tc>
                <w:tcPr>
                  <w:tcW w:w="12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364,280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363,857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35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Основное мероприятие «Создание условий для развития молодежной политики в Пристенском районе Курской области»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18 1 01 00000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364,280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363,857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35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Подпрограмма «Оздоровление и отдых детей Пристенского района Курской области»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1 2</w:t>
                  </w:r>
                </w:p>
              </w:tc>
              <w:tc>
                <w:tcPr>
                  <w:tcW w:w="12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1 385,280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1384,740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100,0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35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Основное мероприятие «Организация оздоровления и отдыха детей Пристенского района  Курской области различными формами»</w:t>
                  </w:r>
                </w:p>
              </w:tc>
              <w:tc>
                <w:tcPr>
                  <w:tcW w:w="121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18 2 01 00000</w:t>
                  </w:r>
                </w:p>
              </w:tc>
              <w:tc>
                <w:tcPr>
                  <w:tcW w:w="127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1 385,280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1384,740</w:t>
                  </w:r>
                </w:p>
              </w:tc>
              <w:tc>
                <w:tcPr>
                  <w:tcW w:w="115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100,0</w:t>
                  </w:r>
                </w:p>
              </w:tc>
            </w:tr>
          </w:tbl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lastRenderedPageBreak/>
        <w:t> </w:t>
      </w:r>
    </w:p>
    <w:tbl>
      <w:tblPr>
        <w:tblW w:w="74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885"/>
        <w:gridCol w:w="114"/>
      </w:tblGrid>
      <w:tr w:rsidR="00C508F4" w:rsidRPr="00C508F4" w:rsidTr="00C508F4">
        <w:trPr>
          <w:trHeight w:val="1092"/>
          <w:tblCellSpacing w:w="0" w:type="dxa"/>
        </w:trPr>
        <w:tc>
          <w:tcPr>
            <w:tcW w:w="8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Сведения об использовании бюджетных ассигнований бюджета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муниципального района «Пристенский район» в разрезе средств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бюджетов различных уровней и разделов бюджетной классификации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расходов на реализацию муниципальной программы за 2020 год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</w:t>
            </w:r>
          </w:p>
          <w:tbl>
            <w:tblPr>
              <w:tblW w:w="7767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294"/>
              <w:gridCol w:w="1052"/>
              <w:gridCol w:w="1192"/>
              <w:gridCol w:w="1000"/>
              <w:gridCol w:w="963"/>
              <w:gridCol w:w="761"/>
              <w:gridCol w:w="505"/>
            </w:tblGrid>
            <w:tr w:rsidR="00C508F4" w:rsidRPr="00C508F4">
              <w:trPr>
                <w:tblCellSpacing w:w="0" w:type="dxa"/>
              </w:trPr>
              <w:tc>
                <w:tcPr>
                  <w:tcW w:w="28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Функциональная классификация расходов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Предусмотрено решением о бюджете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Предусмотрено муниципальной программой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Кассовое исполнение (факт) за отчетный год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Процент исполнения расходов,  %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 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28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i/>
                      <w:iCs/>
                      <w:sz w:val="13"/>
                    </w:rPr>
                    <w:t>6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28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Муниципальная программа  «Повышение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1749,6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1749,6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1748,597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28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- средства областного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539,4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539,4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539,4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100,0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28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i/>
                      <w:iCs/>
                      <w:sz w:val="13"/>
                    </w:rPr>
                    <w:t>- средства местного бюджета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1210,2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1210,2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1209,2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99,9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28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в т.ч. в разрезе  разделов, подраздела бюджетной классификации расходов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b/>
                      <w:bCs/>
                      <w:sz w:val="13"/>
                    </w:rPr>
                    <w:t> 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  <w:tr w:rsidR="00C508F4" w:rsidRPr="00C508F4">
              <w:trPr>
                <w:tblCellSpacing w:w="0" w:type="dxa"/>
              </w:trPr>
              <w:tc>
                <w:tcPr>
                  <w:tcW w:w="286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Молодежная политика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0707</w:t>
                  </w:r>
                </w:p>
              </w:tc>
              <w:tc>
                <w:tcPr>
                  <w:tcW w:w="13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1749,6</w:t>
                  </w:r>
                </w:p>
              </w:tc>
              <w:tc>
                <w:tcPr>
                  <w:tcW w:w="100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1749,6</w:t>
                  </w:r>
                </w:p>
              </w:tc>
              <w:tc>
                <w:tcPr>
                  <w:tcW w:w="11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1748,597</w:t>
                  </w:r>
                </w:p>
              </w:tc>
              <w:tc>
                <w:tcPr>
                  <w:tcW w:w="684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bottom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99,9</w:t>
                  </w:r>
                </w:p>
              </w:tc>
              <w:tc>
                <w:tcPr>
                  <w:tcW w:w="79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tcMar>
                    <w:top w:w="22" w:type="dxa"/>
                    <w:left w:w="44" w:type="dxa"/>
                    <w:bottom w:w="22" w:type="dxa"/>
                    <w:right w:w="44" w:type="dxa"/>
                  </w:tcMar>
                  <w:vAlign w:val="center"/>
                  <w:hideMark/>
                </w:tcPr>
                <w:p w:rsidR="00C508F4" w:rsidRPr="00C508F4" w:rsidRDefault="00C508F4" w:rsidP="00C508F4">
                  <w:pPr>
                    <w:widowControl/>
                    <w:autoSpaceDN/>
                    <w:adjustRightInd/>
                    <w:jc w:val="both"/>
                    <w:rPr>
                      <w:rFonts w:eastAsia="Times New Roman"/>
                      <w:sz w:val="13"/>
                      <w:szCs w:val="13"/>
                    </w:rPr>
                  </w:pPr>
                  <w:r w:rsidRPr="00C508F4">
                    <w:rPr>
                      <w:rFonts w:eastAsia="Times New Roman"/>
                      <w:sz w:val="13"/>
                      <w:szCs w:val="13"/>
                    </w:rPr>
                    <w:t> </w:t>
                  </w:r>
                </w:p>
              </w:tc>
            </w:tr>
          </w:tbl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C508F4" w:rsidRPr="00C508F4" w:rsidTr="00C508F4">
        <w:trPr>
          <w:trHeight w:val="300"/>
          <w:tblCellSpacing w:w="0" w:type="dxa"/>
        </w:trPr>
        <w:tc>
          <w:tcPr>
            <w:tcW w:w="8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C508F4" w:rsidRPr="00C508F4" w:rsidTr="00C508F4">
        <w:trPr>
          <w:trHeight w:val="300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Оценка степени реализации мероприятий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СРм = Мв / М,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СРм - степень реализации мероприятий;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М - общее количество мероприятий, запланированных к реализации в отчетном году.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3550"/>
        <w:gridCol w:w="3550"/>
        <w:gridCol w:w="3550"/>
      </w:tblGrid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Количество мероприятий, предусмотренных к реализации на 2020 год, 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Выполнено  мероприятий, предусмотренных к реализации на 2020 год, Мв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Степень реализации мероприятий, СРм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Всего: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 на уровне основных мероприятий подпрограмм;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зависимости от специфики муниципальной программы степень реализации мероприятий может рассчитываться: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только для мероприятий, полностью или частично реализуемых за счет средств бюджета муниципального района «Пристенский район» Курской области.;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- для всех мероприятий муниципальной программы.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Оценка степени соответствия запланированному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уровню затрат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= З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ф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/ З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З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ф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фактические расходы на реализацию подпрограммы в отчетном году;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З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плановые расходы на реализацию подпрограммы в отчетном году.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23"/>
        <w:gridCol w:w="2607"/>
        <w:gridCol w:w="2607"/>
        <w:gridCol w:w="5362"/>
      </w:tblGrid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З</w:t>
            </w:r>
            <w:r w:rsidRPr="00C508F4">
              <w:rPr>
                <w:rFonts w:eastAsia="Times New Roman"/>
                <w:sz w:val="13"/>
                <w:szCs w:val="13"/>
                <w:vertAlign w:val="subscript"/>
              </w:rPr>
              <w:t>ф</w:t>
            </w:r>
            <w:r w:rsidRPr="00C508F4">
              <w:rPr>
                <w:rFonts w:eastAsia="Times New Roman"/>
                <w:sz w:val="13"/>
                <w:szCs w:val="13"/>
              </w:rPr>
              <w:t> - фактические расходы на реализацию подпрограммы в отчетном году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З</w:t>
            </w:r>
            <w:r w:rsidRPr="00C508F4">
              <w:rPr>
                <w:rFonts w:eastAsia="Times New Roman"/>
                <w:sz w:val="13"/>
                <w:szCs w:val="13"/>
                <w:vertAlign w:val="subscript"/>
              </w:rPr>
              <w:t>п</w:t>
            </w:r>
            <w:r w:rsidRPr="00C508F4">
              <w:rPr>
                <w:rFonts w:eastAsia="Times New Roman"/>
                <w:sz w:val="13"/>
                <w:szCs w:val="13"/>
              </w:rPr>
              <w:t> - плановые расходы на реализацию подпрограммы в отчетном году</w:t>
            </w:r>
          </w:p>
        </w:tc>
        <w:tc>
          <w:tcPr>
            <w:tcW w:w="1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СС</w:t>
            </w:r>
            <w:r w:rsidRPr="00C508F4">
              <w:rPr>
                <w:rFonts w:eastAsia="Times New Roman"/>
                <w:sz w:val="13"/>
                <w:szCs w:val="13"/>
                <w:vertAlign w:val="subscript"/>
              </w:rPr>
              <w:t>уз</w:t>
            </w:r>
            <w:r w:rsidRPr="00C508F4">
              <w:rPr>
                <w:rFonts w:eastAsia="Times New Roman"/>
                <w:sz w:val="13"/>
                <w:szCs w:val="13"/>
              </w:rPr>
              <w:t> - степень соответствия запланированному уровню расходов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363,857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364,280</w:t>
            </w:r>
          </w:p>
        </w:tc>
        <w:tc>
          <w:tcPr>
            <w:tcW w:w="1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1384,740</w:t>
            </w:r>
          </w:p>
        </w:tc>
        <w:tc>
          <w:tcPr>
            <w:tcW w:w="9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1385,280</w:t>
            </w:r>
          </w:p>
        </w:tc>
        <w:tc>
          <w:tcPr>
            <w:tcW w:w="1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бюджета муниципального района «Пристенский район» Курской области, либо расходы из всех источников.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использования средств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бюджета муниципального района «Пристенский район» Курской области.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/ СС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Если доля финансового обеспечения реализации подпрограммы из средств бюджета составляет менее 75%, по решению ответственного исполнителя показатель оценки эффективности использования средств бюджета может быть заменен на показатель эффективности использования финансовых ресурсов на реализацию подпрограммы.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Данный показатель рассчитывается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/ СС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финансовых ресурсов на реализацию подпрограммы;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всех мероприятий подпрограммы;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 из всех источников.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3550"/>
        <w:gridCol w:w="3550"/>
        <w:gridCol w:w="3550"/>
      </w:tblGrid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ССуз - степень соответствия запланированному уровню расходов из средств  бюджета.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СРм - степень реализации мероприятий, полностью или частично финансируемых из средств бюджета;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Э</w:t>
            </w:r>
            <w:r w:rsidRPr="00C508F4">
              <w:rPr>
                <w:rFonts w:eastAsia="Times New Roman"/>
                <w:sz w:val="13"/>
                <w:szCs w:val="13"/>
                <w:vertAlign w:val="subscript"/>
              </w:rPr>
              <w:t>ис</w:t>
            </w:r>
            <w:r w:rsidRPr="00C508F4">
              <w:rPr>
                <w:rFonts w:eastAsia="Times New Roman"/>
                <w:sz w:val="13"/>
                <w:szCs w:val="13"/>
              </w:rPr>
              <w:t> - эффективность использования средств бюджета;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Степень реализации подпрограммы рассчитывается по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подпрограммы;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подпрограммы;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N - число показателей (индикаторов), характеризующих цели и задачи подпрограммы.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При использовании данной формулы в случаях, если СД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больше 1, значение СД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п/ппз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принимается равным 1.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3550"/>
        <w:gridCol w:w="3550"/>
        <w:gridCol w:w="3550"/>
      </w:tblGrid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Количество показателей (индикаторов), предусмотренных к выполнению в 2020 году, N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Количество показателей (индикаторов), выполненных в 2020 году, N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Степень реализации подпрограммы, СРп/п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подпрограммы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x Э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подпрограммы;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49"/>
        <w:gridCol w:w="3550"/>
        <w:gridCol w:w="3550"/>
        <w:gridCol w:w="3550"/>
      </w:tblGrid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Степень реализации подпрограммы,  СРп/п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Эффективность использования финансовых ресурсов, Эис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ЭРп/п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1,0</w:t>
            </w: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муниципальной программы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lastRenderedPageBreak/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k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определяется по формуле: kj = Фj / Ф, где Ф</w:t>
      </w:r>
      <w:r w:rsidRPr="00C508F4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j - количество подпрограмм.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41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85"/>
        <w:gridCol w:w="3767"/>
        <w:gridCol w:w="4347"/>
      </w:tblGrid>
      <w:tr w:rsidR="00C508F4" w:rsidRPr="00C508F4" w:rsidTr="00C508F4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Наименование подпрограмм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Объем фактических расходов на реализацию муниципальной программы в 2020 году (кассовый расход)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Коэффициент значимости подпрограммы, kj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Муниципальная программа  «Повышение 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1748,597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b/>
                <w:bCs/>
                <w:sz w:val="13"/>
              </w:rPr>
              <w:t>в том числе: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1 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363,857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0,21</w:t>
            </w:r>
          </w:p>
        </w:tc>
      </w:tr>
      <w:tr w:rsidR="00C508F4" w:rsidRPr="00C508F4" w:rsidTr="00C508F4">
        <w:trPr>
          <w:tblCellSpacing w:w="0" w:type="dxa"/>
        </w:trPr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Подпрограмма 2 «Оздоровление и отдых детей Пристенского района Курской области»</w:t>
            </w:r>
          </w:p>
        </w:tc>
        <w:tc>
          <w:tcPr>
            <w:tcW w:w="1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1384,740</w:t>
            </w:r>
          </w:p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 </w:t>
            </w:r>
          </w:p>
        </w:tc>
        <w:tc>
          <w:tcPr>
            <w:tcW w:w="1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C508F4" w:rsidRPr="00C508F4" w:rsidRDefault="00C508F4" w:rsidP="00C508F4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C508F4">
              <w:rPr>
                <w:rFonts w:eastAsia="Times New Roman"/>
                <w:sz w:val="13"/>
                <w:szCs w:val="13"/>
              </w:rPr>
              <w:t>0,79</w:t>
            </w:r>
          </w:p>
        </w:tc>
      </w:tr>
    </w:tbl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ЭРгп=0,5*1 + 0,5*(1,0*0,21+1,0*0,79)=1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color w:val="000000"/>
          <w:sz w:val="13"/>
          <w:szCs w:val="13"/>
        </w:rPr>
        <w:t>Значение показателя составило 1, следовательно, эффективность реализации муниципальной программы Пристенского района Курской области «Повышение  эффективности развития молодежной политики и совершенствование системы оздоровления и отдыха детей в 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на 2020-2022 годы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» 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признается высокой. Цели и задачи поставленные в муниципальной программе выполнены в полном объеме.</w:t>
      </w:r>
    </w:p>
    <w:p w:rsidR="00C508F4" w:rsidRPr="00C508F4" w:rsidRDefault="00C508F4" w:rsidP="00C508F4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Предложение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: продолжить реализацию мероприятий муниципальной программы «Повышение  эффективности развития молодежной политики и совершенствование системы оздоровления и отдыха детей в 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на 2020-2022 годы</w:t>
      </w:r>
      <w:r w:rsidRPr="00C508F4">
        <w:rPr>
          <w:rFonts w:ascii="Tahoma" w:eastAsia="Times New Roman" w:hAnsi="Tahoma" w:cs="Tahoma"/>
          <w:b/>
          <w:bCs/>
          <w:color w:val="000000"/>
          <w:sz w:val="13"/>
        </w:rPr>
        <w:t>»  </w:t>
      </w:r>
      <w:r w:rsidRPr="00C508F4">
        <w:rPr>
          <w:rFonts w:ascii="Tahoma" w:eastAsia="Times New Roman" w:hAnsi="Tahoma" w:cs="Tahoma"/>
          <w:color w:val="000000"/>
          <w:sz w:val="13"/>
          <w:szCs w:val="13"/>
        </w:rPr>
        <w:t>в 2021 году.</w:t>
      </w:r>
    </w:p>
    <w:p w:rsidR="00560C54" w:rsidRPr="00C508F4" w:rsidRDefault="00560C54" w:rsidP="00C508F4"/>
    <w:sectPr w:rsidR="00560C54" w:rsidRPr="00C508F4" w:rsidSect="002D7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3A"/>
    <w:multiLevelType w:val="multilevel"/>
    <w:tmpl w:val="B9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30DA"/>
    <w:multiLevelType w:val="multilevel"/>
    <w:tmpl w:val="A6C2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2488"/>
    <w:multiLevelType w:val="multilevel"/>
    <w:tmpl w:val="568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318CB"/>
    <w:multiLevelType w:val="multilevel"/>
    <w:tmpl w:val="C43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07006"/>
    <w:multiLevelType w:val="multilevel"/>
    <w:tmpl w:val="DED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43528"/>
    <w:multiLevelType w:val="multilevel"/>
    <w:tmpl w:val="F32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B680C"/>
    <w:multiLevelType w:val="multilevel"/>
    <w:tmpl w:val="C4CA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401F"/>
    <w:multiLevelType w:val="multilevel"/>
    <w:tmpl w:val="2CD6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775A7"/>
    <w:multiLevelType w:val="multilevel"/>
    <w:tmpl w:val="CC3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D0807"/>
    <w:multiLevelType w:val="multilevel"/>
    <w:tmpl w:val="5D40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85D2D"/>
    <w:multiLevelType w:val="multilevel"/>
    <w:tmpl w:val="7E7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D30ED"/>
    <w:multiLevelType w:val="multilevel"/>
    <w:tmpl w:val="4C8E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C04EB"/>
    <w:multiLevelType w:val="multilevel"/>
    <w:tmpl w:val="C03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36B18"/>
    <w:multiLevelType w:val="multilevel"/>
    <w:tmpl w:val="756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919F1"/>
    <w:multiLevelType w:val="multilevel"/>
    <w:tmpl w:val="B77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3676A"/>
    <w:multiLevelType w:val="multilevel"/>
    <w:tmpl w:val="48C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E4D2B"/>
    <w:multiLevelType w:val="multilevel"/>
    <w:tmpl w:val="43D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75963"/>
    <w:multiLevelType w:val="multilevel"/>
    <w:tmpl w:val="0586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40CE9"/>
    <w:multiLevelType w:val="multilevel"/>
    <w:tmpl w:val="0076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21B01"/>
    <w:multiLevelType w:val="multilevel"/>
    <w:tmpl w:val="7D8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400EA"/>
    <w:multiLevelType w:val="multilevel"/>
    <w:tmpl w:val="788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9031CD"/>
    <w:multiLevelType w:val="multilevel"/>
    <w:tmpl w:val="646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6574A"/>
    <w:multiLevelType w:val="multilevel"/>
    <w:tmpl w:val="119E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46043A"/>
    <w:multiLevelType w:val="multilevel"/>
    <w:tmpl w:val="9D6E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67412"/>
    <w:multiLevelType w:val="multilevel"/>
    <w:tmpl w:val="34C2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3"/>
  </w:num>
  <w:num w:numId="5">
    <w:abstractNumId w:val="10"/>
  </w:num>
  <w:num w:numId="6">
    <w:abstractNumId w:val="9"/>
  </w:num>
  <w:num w:numId="7">
    <w:abstractNumId w:val="31"/>
  </w:num>
  <w:num w:numId="8">
    <w:abstractNumId w:val="17"/>
  </w:num>
  <w:num w:numId="9">
    <w:abstractNumId w:val="0"/>
  </w:num>
  <w:num w:numId="10">
    <w:abstractNumId w:val="16"/>
  </w:num>
  <w:num w:numId="11">
    <w:abstractNumId w:val="20"/>
  </w:num>
  <w:num w:numId="12">
    <w:abstractNumId w:val="18"/>
  </w:num>
  <w:num w:numId="13">
    <w:abstractNumId w:val="7"/>
  </w:num>
  <w:num w:numId="14">
    <w:abstractNumId w:val="25"/>
  </w:num>
  <w:num w:numId="15">
    <w:abstractNumId w:val="27"/>
  </w:num>
  <w:num w:numId="16">
    <w:abstractNumId w:val="23"/>
  </w:num>
  <w:num w:numId="17">
    <w:abstractNumId w:val="13"/>
  </w:num>
  <w:num w:numId="18">
    <w:abstractNumId w:val="8"/>
  </w:num>
  <w:num w:numId="19">
    <w:abstractNumId w:val="6"/>
  </w:num>
  <w:num w:numId="20">
    <w:abstractNumId w:val="11"/>
  </w:num>
  <w:num w:numId="21">
    <w:abstractNumId w:val="29"/>
  </w:num>
  <w:num w:numId="22">
    <w:abstractNumId w:val="26"/>
  </w:num>
  <w:num w:numId="23">
    <w:abstractNumId w:val="1"/>
  </w:num>
  <w:num w:numId="24">
    <w:abstractNumId w:val="5"/>
  </w:num>
  <w:num w:numId="25">
    <w:abstractNumId w:val="2"/>
  </w:num>
  <w:num w:numId="26">
    <w:abstractNumId w:val="12"/>
  </w:num>
  <w:num w:numId="27">
    <w:abstractNumId w:val="15"/>
  </w:num>
  <w:num w:numId="28">
    <w:abstractNumId w:val="22"/>
  </w:num>
  <w:num w:numId="29">
    <w:abstractNumId w:val="4"/>
  </w:num>
  <w:num w:numId="30">
    <w:abstractNumId w:val="32"/>
  </w:num>
  <w:num w:numId="31">
    <w:abstractNumId w:val="19"/>
  </w:num>
  <w:num w:numId="32">
    <w:abstractNumId w:val="2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135A29"/>
    <w:rsid w:val="00017D06"/>
    <w:rsid w:val="00056DAD"/>
    <w:rsid w:val="00081C89"/>
    <w:rsid w:val="00082DE4"/>
    <w:rsid w:val="000E1C13"/>
    <w:rsid w:val="000F13B9"/>
    <w:rsid w:val="00120E3E"/>
    <w:rsid w:val="001229E1"/>
    <w:rsid w:val="00130EEA"/>
    <w:rsid w:val="00135A29"/>
    <w:rsid w:val="00145550"/>
    <w:rsid w:val="00226289"/>
    <w:rsid w:val="002D7D74"/>
    <w:rsid w:val="00331A81"/>
    <w:rsid w:val="00344EE3"/>
    <w:rsid w:val="00350D34"/>
    <w:rsid w:val="003C5CFD"/>
    <w:rsid w:val="00406A85"/>
    <w:rsid w:val="0043007D"/>
    <w:rsid w:val="00435B9F"/>
    <w:rsid w:val="00451B7F"/>
    <w:rsid w:val="004D1F02"/>
    <w:rsid w:val="004D73A8"/>
    <w:rsid w:val="004E56B1"/>
    <w:rsid w:val="00560C54"/>
    <w:rsid w:val="005D772F"/>
    <w:rsid w:val="005E772B"/>
    <w:rsid w:val="00620345"/>
    <w:rsid w:val="006A3BBE"/>
    <w:rsid w:val="006A48AE"/>
    <w:rsid w:val="006A52EB"/>
    <w:rsid w:val="006F353F"/>
    <w:rsid w:val="0074216B"/>
    <w:rsid w:val="00752051"/>
    <w:rsid w:val="007C2201"/>
    <w:rsid w:val="007E2FB6"/>
    <w:rsid w:val="007F4DAA"/>
    <w:rsid w:val="00860F45"/>
    <w:rsid w:val="00886B54"/>
    <w:rsid w:val="00993BC5"/>
    <w:rsid w:val="009A363F"/>
    <w:rsid w:val="009B2A07"/>
    <w:rsid w:val="00A36F17"/>
    <w:rsid w:val="00AE2AA4"/>
    <w:rsid w:val="00AE4688"/>
    <w:rsid w:val="00AE6AAF"/>
    <w:rsid w:val="00AF475A"/>
    <w:rsid w:val="00B01FAD"/>
    <w:rsid w:val="00C508F4"/>
    <w:rsid w:val="00C71C62"/>
    <w:rsid w:val="00CE4463"/>
    <w:rsid w:val="00CF6855"/>
    <w:rsid w:val="00DD7BB2"/>
    <w:rsid w:val="00DF57C2"/>
    <w:rsid w:val="00DF6C70"/>
    <w:rsid w:val="00E10C97"/>
    <w:rsid w:val="00F11C7C"/>
    <w:rsid w:val="00F12114"/>
    <w:rsid w:val="00F9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1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13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65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998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53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421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5520</Words>
  <Characters>31465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2023-10-30T05:37:00Z</dcterms:created>
  <dcterms:modified xsi:type="dcterms:W3CDTF">2023-10-30T09:31:00Z</dcterms:modified>
</cp:coreProperties>
</file>