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5"/>
          <w:szCs w:val="15"/>
        </w:rPr>
        <w:t>ГОДОВОЙ ОТЧЕТ о ходе реализации и оценке эффективности муниципальной программы «РАЗВИТИЕ ИНФОРМАЦИОННОГО ОБЩЕСТВА В ПРИСТЕНСКОМ РАЙОНЕ КУРСКОЙ ОБЛАСТИ» за 2020 год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За отчетный период отделом юридического сопровождения,  муниципальных услуг, защиты информации и ИКТ Администрации Пристенского района Курской области осуществлялась реализация мероприятий в рамках муниципальной программы «Развитие информационного общества в Пристенском районе Курской области».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Муниципальная программа утверждена постановлением Администрации Пристенского района Курской области от 15 ноября 2019 года № 658-па на период 2020-2022 годы.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В 2020 году в муниципальную программу были внесены изменения постановлением Администрации Пристенского района Курской области от 29.12.2020 №658-па «О внесении изменений в муниципальную программу Пристенского района Курской области «Развитие информационного общества в Пристенском районе Курской области»». Данные изменения были внесены в связи с принятием Решения Представительного Собрания Пристенского района Курской области четвертого созыва от 20 декабря 2019 года №12/78 «О бюджете муниципального района «Пристенский район» Курской области на 2020 год и на плановый период 2021-2023 годов» (в редакции от 25 декабря 2020 года № 16/76),  в связи с изменениями, касающимися объемов финансирования.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Результаты реализации муниципальной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программы, достигнутые за 2020 год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Реализация мероприятий муниципальной программы «Развитие информационного общества в Курской области» в 2020 году обеспечивает возможность формирования инфраструктуры информационного общества и электронного правительства в Пристенском районе Курской области.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Задачи муниципальной программы решаются в рамках реализации мероприятий подпрограмм: «Электронное правительство Пристенского района Курской области», «Развитие системы защиты информации в Пристенском районе Курской области»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мероприятий подпрограммы «Электронное правительство Пристенского района Курской области» проведены следующие работы:</w:t>
      </w:r>
    </w:p>
    <w:p w:rsidR="00DD7BB2" w:rsidRPr="00DD7BB2" w:rsidRDefault="00DD7BB2" w:rsidP="00DD7BB2">
      <w:pPr>
        <w:widowControl/>
        <w:numPr>
          <w:ilvl w:val="0"/>
          <w:numId w:val="3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Обеспечена поддержка функционирования сети передачи данных единой информационно-коммуникационной среды органов власти Курской области</w:t>
      </w:r>
    </w:p>
    <w:p w:rsidR="00DD7BB2" w:rsidRPr="00DD7BB2" w:rsidRDefault="00DD7BB2" w:rsidP="00DD7BB2">
      <w:pPr>
        <w:widowControl/>
        <w:numPr>
          <w:ilvl w:val="0"/>
          <w:numId w:val="3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Обеспечена поддержка функционирования системы видеоконференцсвязи</w:t>
      </w:r>
    </w:p>
    <w:p w:rsidR="00DD7BB2" w:rsidRPr="00DD7BB2" w:rsidRDefault="00DD7BB2" w:rsidP="00DD7BB2">
      <w:pPr>
        <w:widowControl/>
        <w:numPr>
          <w:ilvl w:val="0"/>
          <w:numId w:val="3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Обеспечена поддержка функционирования региональной системы межведомственного электронного взаимодействия</w:t>
      </w:r>
    </w:p>
    <w:p w:rsidR="00DD7BB2" w:rsidRPr="00DD7BB2" w:rsidRDefault="00DD7BB2" w:rsidP="00DD7BB2">
      <w:pPr>
        <w:widowControl/>
        <w:numPr>
          <w:ilvl w:val="0"/>
          <w:numId w:val="3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Всего в настоящее время предусмотрена возможность предоставления государственных и муниципальных услуг в электронной форме путем подачи заявок с Единого портала государственных услуг и портала государственных и муниципальных услуг Курской области.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Всего из муниципальных 34 муниципальных услуг в электронном виде оказывается 13 муниципальных услуг через ЕПГУ и РПГМУ</w:t>
      </w:r>
    </w:p>
    <w:p w:rsidR="00DD7BB2" w:rsidRPr="00DD7BB2" w:rsidRDefault="00DD7BB2" w:rsidP="00DD7BB2">
      <w:pPr>
        <w:widowControl/>
        <w:numPr>
          <w:ilvl w:val="0"/>
          <w:numId w:val="33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Обеспечено функционирование и заполнение официального сайта муниципального образование «Пристенский район» Курской области.</w:t>
      </w:r>
    </w:p>
    <w:p w:rsidR="00DD7BB2" w:rsidRPr="00DD7BB2" w:rsidRDefault="00DD7BB2" w:rsidP="00DD7BB2">
      <w:pPr>
        <w:widowControl/>
        <w:numPr>
          <w:ilvl w:val="0"/>
          <w:numId w:val="33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Обеспечивается работа в системе электронного документооборота на базе АИС «Дело»</w:t>
      </w:r>
    </w:p>
    <w:p w:rsidR="00DD7BB2" w:rsidRPr="00DD7BB2" w:rsidRDefault="00DD7BB2" w:rsidP="00DD7BB2">
      <w:pPr>
        <w:widowControl/>
        <w:numPr>
          <w:ilvl w:val="0"/>
          <w:numId w:val="33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Проведены мероприятия по информированию граждан о преимуществах получения услуг в электронном виде: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1) на официальном сайте муниципального образование «Пристенский район» Курской области размещены обучающие и разъясняющие материалы, а также методические рекомендации по информированию граждан о преимуществах получения государственных услуг в электронном виде, видеоматериалы, баннер - ссылки ЕПГУ/РПГУ;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3) в ленте справочной информации муниципального образование «Пристенский район» Курской области еженедельно публикуются новости об услугах в электронном виде, работе Единого портала госуслуг;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4) созданы аккаунты в социальных сетях: «Вконтакте», «Одноклассники», на которых размещены информационные материалы о преимуществах получения государственных и муниципальных услуг в электронном виде, новых возможностях ЕПГУ и РПГУ.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5) изготовлена печатная продукция – плакаты, евробуклеты, листовки, которые переданы в структурные подразделения администрации Пристенского района Курской области, муниципальные образования Пристенского района Курской области, филиал МФЦ и размещены в местах общественного пребывания людей в  целях информирования граждан.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6) организована разъяснительная работа через местные СМИ о преимуществах получения государственных и муниципальных услуг в электронном виде.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9. Была произведена покупка и текущий ремонт вычислительной и оргтехники, покупка телекоммуникационного оборудования и программного обеспечения.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В рамках реализации мероприятий подпрограммы «Развитие системы защиты информации Пристенского района Курской области» проведены следующие работы: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1. Были закуплены неисключительные права (лицензий) на антивирусное программное обеспечение на 55 рабочих мест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Сведения о достижении показателей (индикаторов)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муниципальной программы Пристенского района Курской области «Развитие информационного общества в Пристенском районе Курской области»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за 2020 год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0"/>
        <w:gridCol w:w="1476"/>
        <w:gridCol w:w="1284"/>
        <w:gridCol w:w="1080"/>
        <w:gridCol w:w="2088"/>
      </w:tblGrid>
      <w:tr w:rsidR="00DD7BB2" w:rsidRPr="00DD7BB2" w:rsidTr="00DD7BB2">
        <w:trPr>
          <w:tblCellSpacing w:w="0" w:type="dxa"/>
        </w:trPr>
        <w:tc>
          <w:tcPr>
            <w:tcW w:w="42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Наименование целевого индикатора</w:t>
            </w:r>
          </w:p>
        </w:tc>
        <w:tc>
          <w:tcPr>
            <w:tcW w:w="14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Ед. измерения</w:t>
            </w:r>
          </w:p>
        </w:tc>
        <w:tc>
          <w:tcPr>
            <w:tcW w:w="236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    Значение целевого индикатора</w:t>
            </w:r>
          </w:p>
        </w:tc>
        <w:tc>
          <w:tcPr>
            <w:tcW w:w="20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Эффективность целевого индикатора, %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план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Цель 1</w:t>
            </w:r>
            <w:r w:rsidRPr="00DD7BB2">
              <w:rPr>
                <w:rFonts w:eastAsia="Times New Roman"/>
                <w:sz w:val="13"/>
                <w:szCs w:val="13"/>
              </w:rPr>
              <w:t>: Формирование инфраструктуры информационного общества и электронного правительства в Пристенском районе Курской области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Задача:</w:t>
            </w:r>
            <w:r w:rsidRPr="00DD7BB2">
              <w:rPr>
                <w:rFonts w:eastAsia="Times New Roman"/>
                <w:sz w:val="13"/>
                <w:szCs w:val="13"/>
              </w:rPr>
              <w:t> Развитие технической и технологической основы становления информационного общества.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граждан Пристенского района Курской области, использующих механизм получения муниципальных услуг в электронном виде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70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70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Задача:</w:t>
            </w:r>
            <w:r w:rsidRPr="00DD7BB2">
              <w:rPr>
                <w:rFonts w:eastAsia="Times New Roman"/>
                <w:sz w:val="13"/>
                <w:szCs w:val="13"/>
              </w:rPr>
              <w:t> Обеспечение информационной безопасности информационно-телекоммуникационной инфраструктуры информационных систем Пристенского района Курской области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объектов информатизации муниципального района «Пристенский район» Курской области, обрабатывающих информацию с ограниченным доступом, оснащенных сертифицированными средствами защиты информации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 </w:t>
            </w:r>
          </w:p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Цель 2</w:t>
            </w:r>
            <w:r w:rsidRPr="00DD7BB2">
              <w:rPr>
                <w:rFonts w:eastAsia="Times New Roman"/>
                <w:sz w:val="13"/>
                <w:szCs w:val="13"/>
              </w:rPr>
              <w:t>: </w:t>
            </w:r>
            <w:r w:rsidRPr="00DD7BB2">
              <w:rPr>
                <w:rFonts w:eastAsia="Times New Roman"/>
                <w:b/>
                <w:bCs/>
                <w:sz w:val="13"/>
              </w:rPr>
              <w:t xml:space="preserve">Повышение эффективности предоставления государственных и муниципальных услуг органами местного самоуправления Пристенского района Курской </w:t>
            </w:r>
            <w:r w:rsidRPr="00DD7BB2">
              <w:rPr>
                <w:rFonts w:eastAsia="Times New Roman"/>
                <w:b/>
                <w:bCs/>
                <w:sz w:val="13"/>
              </w:rPr>
              <w:lastRenderedPageBreak/>
              <w:t>области на основе организации межведомственного информационного обмена и обеспечения эффективного использования информационных и телекоммуникационных технологий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lastRenderedPageBreak/>
              <w:t>Задача:</w:t>
            </w:r>
            <w:r w:rsidRPr="00DD7BB2">
              <w:rPr>
                <w:rFonts w:eastAsia="Times New Roman"/>
                <w:sz w:val="13"/>
                <w:szCs w:val="13"/>
              </w:rPr>
              <w:t> Обеспечение функционирования инфраструктуры Электронного правительства и информационного общества в Пристенском районе Курской области</w:t>
            </w: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рабочих мест сотрудников Администрации Пристенского района Курской области, отвечающие современным требованиям в области информационно-коммуникационных технологий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Количество рабочих мест сотрудников  Администрации Пристенского района Курской области, подключенных к единой информационно-коммуникационной среде Курской области (ЕИКС);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шт.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рабочих мест сотрудников муниципальных казенных учреждений Администрации Пристенского района Курской области, обеспеченных широкополосным доступом к сети Интернет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75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75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Цель 3</w:t>
            </w:r>
            <w:r w:rsidRPr="00DD7BB2">
              <w:rPr>
                <w:rFonts w:eastAsia="Times New Roman"/>
                <w:sz w:val="13"/>
                <w:szCs w:val="13"/>
              </w:rPr>
              <w:t>: </w:t>
            </w:r>
            <w:r w:rsidRPr="00DD7BB2">
              <w:rPr>
                <w:rFonts w:eastAsia="Times New Roman"/>
                <w:b/>
                <w:bCs/>
                <w:sz w:val="13"/>
              </w:rPr>
              <w:t>Обеспечение безопасности информационных систем Администрации Пристенского района Курской области в соответствии с требованиями действующего законодательства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10188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Задача:</w:t>
            </w:r>
            <w:r w:rsidRPr="00DD7BB2">
              <w:rPr>
                <w:rFonts w:eastAsia="Times New Roman"/>
                <w:sz w:val="13"/>
                <w:szCs w:val="13"/>
              </w:rPr>
              <w:t> Реализация муниципальной политики и требований законодательных и иных нормативных правовых актов в сфере обеспечения безопасности информации</w:t>
            </w: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сведения, составляющие государственную тайну, аттестованных в соответствии с требованиями действующего законодательства в сфере защиты информации;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объектов информатизации органов местного самоуправления муниципального района «Пристенский район» Курской области, обрабатывающих персональные данные, оснащенных сертифицированными средствами защиты информации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80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</w:t>
            </w:r>
          </w:p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Причина неисполнения данного показателя- недостаточный объем денежных средств</w:t>
            </w:r>
            <w:r w:rsidRPr="00DD7BB2">
              <w:rPr>
                <w:rFonts w:eastAsia="Times New Roman"/>
                <w:i/>
                <w:iCs/>
                <w:sz w:val="13"/>
              </w:rPr>
              <w:t> 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2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Доля рабочих мест Администрации Пристенского района Курской области, оснащенных сертифицированным отечественным антивирусным программным обеспечением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85</w:t>
            </w:r>
          </w:p>
        </w:tc>
        <w:tc>
          <w:tcPr>
            <w:tcW w:w="1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85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</w:tbl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Оценка достижения запланированных результатов составила: 87,5%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Сведения об исполнении муниципальной программы Пристенского района Курской области «Развитие информационного общества в Пристенском районе Курской области» за 2020 год</w:t>
      </w:r>
    </w:p>
    <w:tbl>
      <w:tblPr>
        <w:tblW w:w="1419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821"/>
        <w:gridCol w:w="2130"/>
        <w:gridCol w:w="1988"/>
        <w:gridCol w:w="1846"/>
        <w:gridCol w:w="2130"/>
        <w:gridCol w:w="284"/>
      </w:tblGrid>
      <w:tr w:rsidR="00DD7BB2" w:rsidRPr="00DD7BB2" w:rsidTr="00DD7BB2">
        <w:trPr>
          <w:trHeight w:val="936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Наименование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ЦСР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План 2020 г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Факт 2020 г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312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i/>
                <w:iCs/>
                <w:sz w:val="13"/>
              </w:rPr>
              <w:t>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576"/>
          <w:tblCellSpacing w:w="0" w:type="dxa"/>
        </w:trPr>
        <w:tc>
          <w:tcPr>
            <w:tcW w:w="20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20</w:t>
            </w:r>
          </w:p>
        </w:tc>
        <w:tc>
          <w:tcPr>
            <w:tcW w:w="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2 244,732</w:t>
            </w:r>
          </w:p>
        </w:tc>
        <w:tc>
          <w:tcPr>
            <w:tcW w:w="6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2 163,374</w:t>
            </w:r>
          </w:p>
        </w:tc>
        <w:tc>
          <w:tcPr>
            <w:tcW w:w="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74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672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Подпрограмма «Электронное правительство Пристенского района Курской области"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20 1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2 190,732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2 114,396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1380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lastRenderedPageBreak/>
              <w:t>Основное мероприятие  «Осуществление мероприятий по формированию электронного правительства, обеспечение деятельности учреждений в сфере информационно-коммуникационного и технического обеспечения »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20 1 01 00000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1 664,629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1 603,931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1068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Основное мероприятие  «Обеспечение деятельности муниципальных казенных учреждений в сфере информационно-коммуникационного и технического обеспечения"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20 1 02 00000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526,103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510,465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97,0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888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Подпрограмма «Развитие системы защиты информации Пристенского района Курской области»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20 2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54,000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48,978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90,7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828"/>
          <w:tblCellSpacing w:w="0" w:type="dxa"/>
        </w:trPr>
        <w:tc>
          <w:tcPr>
            <w:tcW w:w="2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Основное мероприятие  «Мероприятия по обеспечению безопасности в информационно-коммуникационной сфере»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20 2 01 00000</w:t>
            </w:r>
          </w:p>
        </w:tc>
        <w:tc>
          <w:tcPr>
            <w:tcW w:w="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54,000</w:t>
            </w:r>
          </w:p>
        </w:tc>
        <w:tc>
          <w:tcPr>
            <w:tcW w:w="6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48,978</w:t>
            </w:r>
          </w:p>
        </w:tc>
        <w:tc>
          <w:tcPr>
            <w:tcW w:w="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90,7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DD7BB2">
        <w:rPr>
          <w:rFonts w:ascii="Tahoma" w:eastAsia="Times New Roman" w:hAnsi="Tahoma" w:cs="Tahoma"/>
          <w:b/>
          <w:bCs/>
          <w:color w:val="000000"/>
          <w:sz w:val="13"/>
          <w:szCs w:val="13"/>
        </w:rPr>
        <w:br/>
      </w: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Сведения об использовании бюджетных ассигнований бюджета муниципального района «Пристенский район» в разрезе средств бюджетов различных уровней и разделов бюджетной классификации расходов на реализацию муниципальной программы «Развитие информационного общества в Пристенском районе Курской области»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в 2020 году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tbl>
      <w:tblPr>
        <w:tblW w:w="917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193"/>
        <w:gridCol w:w="1142"/>
        <w:gridCol w:w="1417"/>
        <w:gridCol w:w="1216"/>
        <w:gridCol w:w="1049"/>
        <w:gridCol w:w="1044"/>
        <w:gridCol w:w="114"/>
      </w:tblGrid>
      <w:tr w:rsidR="00DD7BB2" w:rsidRPr="00DD7BB2" w:rsidTr="00DD7BB2">
        <w:trPr>
          <w:trHeight w:val="118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Функциональная классификация расходов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Предусмотрено решением о бюджете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Предусмотрено муниципальной программой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Кассовое исполнение (факт) за отчетный год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Процент исполнения расходов,  %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312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3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4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888"/>
          <w:tblCellSpacing w:w="0" w:type="dxa"/>
        </w:trPr>
        <w:tc>
          <w:tcPr>
            <w:tcW w:w="385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Муниципальная программа "Развитие информационного общества в Пристенском районе Курской области"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2 244,7</w:t>
            </w:r>
          </w:p>
        </w:tc>
        <w:tc>
          <w:tcPr>
            <w:tcW w:w="12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2 244,7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2 163,4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32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  <w:sz w:val="13"/>
                <w:szCs w:val="13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52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i/>
                <w:iCs/>
                <w:sz w:val="13"/>
              </w:rPr>
              <w:t>- средства местного бюджета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2 244,7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2 244,7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2 163,4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96,4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696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lastRenderedPageBreak/>
              <w:t>в т.ч. в разрезе  разделов, подраздела бюджетной классификации расходов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972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0104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1 442,6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1 442,6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1 391,8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96,5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840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0106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276,0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276,0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261,1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94,6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  <w:tr w:rsidR="00DD7BB2" w:rsidRPr="00DD7BB2" w:rsidTr="00DD7BB2">
        <w:trPr>
          <w:trHeight w:val="708"/>
          <w:tblCellSpacing w:w="0" w:type="dxa"/>
        </w:trPr>
        <w:tc>
          <w:tcPr>
            <w:tcW w:w="3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0113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526,1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526,1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510,5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97,0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rPr>
                <w:rFonts w:eastAsia="Times New Roman"/>
              </w:rPr>
            </w:pPr>
          </w:p>
        </w:tc>
      </w:tr>
    </w:tbl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Степень выполнения мероприятий муниципальной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«Развитие информационного общества в Пристенском районе Курской области» за 2020 год.</w:t>
      </w:r>
    </w:p>
    <w:tbl>
      <w:tblPr>
        <w:tblW w:w="904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74"/>
        <w:gridCol w:w="1949"/>
        <w:gridCol w:w="1561"/>
        <w:gridCol w:w="1260"/>
      </w:tblGrid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Основные мероприятия Программы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Запланировано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Выполнено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%</w:t>
            </w:r>
          </w:p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выполнения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Проведение работ по инвентаризации информационных систем с целью определения сведений, участвующих в процессе предоставления муниципальных услуг в Пристенском районе Курской области</w:t>
            </w: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Разработка мероприятия по обеспечению информационной безопасности электронного правительства в Пристенском районе Курской области, обеспечению безопасности персональных данных, обеспечению защиты информации на рабочих местах сотрудников органов местного самоуправления муниципального района «Пристенский район» Курской области</w:t>
            </w: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Проведение первичных мероприятий по защите информации (спецпроверок и специсследований, проектные работы и другие услуги, оказываемые в сфере разработки систем защиты информации), аттестационных испытаний объектов информатизации органов местного самоуправления муниципального района «Пристенский район» Курской области в соответствии с действующим законодательством и мероприятий по контролю защищенности объектов информатизации обрабатывающих сведения, составляющие государственную тайну.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Оснащение объектов информатизации, обрабатывающих информацию с ограниченным доступом, органов местного самоуправления муниципального района «Пристенский район» сертифицированными программными и аппаратными средствами защиты информации, а также средствами обработки информации с ограниченным доступом.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Повышение квалификации, профессиональная переподготовка специалистов органов местного самоуправления муниципального района «Пристенский район» Курской области в сфере защиты информации</w:t>
            </w: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sz w:val="13"/>
                <w:szCs w:val="13"/>
              </w:rPr>
              <w:t>100</w:t>
            </w:r>
          </w:p>
        </w:tc>
      </w:tr>
      <w:tr w:rsidR="00DD7BB2" w:rsidRPr="00DD7BB2" w:rsidTr="00DD7BB2">
        <w:trPr>
          <w:tblCellSpacing w:w="0" w:type="dxa"/>
        </w:trPr>
        <w:tc>
          <w:tcPr>
            <w:tcW w:w="47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2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1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  <w:tc>
          <w:tcPr>
            <w:tcW w:w="13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D7BB2" w:rsidRPr="00DD7BB2" w:rsidRDefault="00DD7BB2" w:rsidP="00DD7BB2">
            <w:pPr>
              <w:widowControl/>
              <w:autoSpaceDN/>
              <w:adjustRightInd/>
              <w:jc w:val="both"/>
              <w:rPr>
                <w:rFonts w:eastAsia="Times New Roman"/>
                <w:sz w:val="13"/>
                <w:szCs w:val="13"/>
              </w:rPr>
            </w:pPr>
            <w:r w:rsidRPr="00DD7BB2">
              <w:rPr>
                <w:rFonts w:eastAsia="Times New Roman"/>
                <w:b/>
                <w:bCs/>
                <w:sz w:val="13"/>
              </w:rPr>
              <w:t> </w:t>
            </w:r>
          </w:p>
        </w:tc>
      </w:tr>
    </w:tbl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Степень выполнения мероприятий Программы составляет 100 %.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ОЦЕНКА ЭФФЕКТИВНОСТИ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муниципальной программы «Развитие информационного общества в Пристенском районе Курской области» за 2020 год.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center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Оценка степени реализации мероприятий муниципальной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СРм=Мв/М,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 Мв – количество мероприятий, выполненных в полном объеме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М – общее количество мероприятий, запланированных к реализации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СРм=4/4=1 (100%)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Оценка степени соответствия запланированному уровню затрат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ССуз=Зф/Зп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 Зф – фактические расходы на реализацию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Зп – плановые расходы на реализацию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ССуз=2 163,374/2 244, 732=0,96  (96%)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Оценка эффективности использования средств бюджета муниципального района «Пристенский район» Курской области.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Эффективность использования средств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= СР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/ СС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,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ис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эффективность использования средств бюджета;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м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мероприятий, полностью или частично финансируемых из средств бюджета;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СС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уз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степень соответствия запланированному уровню расходов из средств  бюджета.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Эис=1/0,96=1,04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Оценка степени достижения целей и решения задач муниципальной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СДп/ппз=ЗПп/пФ/ЗПп/пп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 ЗПп/пФ – значение показателя, фактически достигнутое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ЗП п/пп – плановое значение показателя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СДп/ппз=(70/70+80/80+10/10+8/8+75/75+100/100+0/80+100/100)/8=(1+1+1+1+1+1+0+1)/8=7/8=0,88 (87,5%)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Степень реализации муниципальной программы рассчитывается по формуле: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СД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степень достижения планового значения показателя (индикатора), характеризующего цели и задачи муниципальной 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М - число показателей (индикаторов), характеризующих цели и задачи подпрограммы.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При использовании данной формулы, в случае если СД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больше 1, значение СД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гппз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принимается равным 1.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-=0,875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Оценка эффективности реализации муниципальной  программы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где: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муниципальной 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СР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степень реализации муниципальной 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п/п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эффективность реализации подпрограммы;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k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k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определяется по формуле: kj = Фj / Ф, где Ф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j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 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lastRenderedPageBreak/>
        <w:t>j - количество подпрограмм.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ЭР</w:t>
      </w:r>
      <w:r w:rsidRPr="00DD7BB2">
        <w:rPr>
          <w:rFonts w:ascii="Tahoma" w:eastAsia="Times New Roman" w:hAnsi="Tahoma" w:cs="Tahoma"/>
          <w:color w:val="000000"/>
          <w:sz w:val="13"/>
          <w:szCs w:val="13"/>
          <w:vertAlign w:val="subscript"/>
        </w:rPr>
        <w:t>гп =  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0,5*0,875+ 0,5*0,96=0,44+0,48=0,92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Оценка эффективности реализации муниципальной программы за 2020 год составляет 0,92.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                                               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Значение показателя составило 0,92, следовательно, эффективность реализации муниципальной программы Пристенского района Курской области «Развитие информационного общества в Пристенском районе Курской области» признается высокой. Цели и задачи, поставленные в муниципальной программе, выполнены в полном объеме.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DD7BB2" w:rsidRPr="00DD7BB2" w:rsidRDefault="00DD7BB2" w:rsidP="00DD7BB2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DD7BB2">
        <w:rPr>
          <w:rFonts w:ascii="Tahoma" w:eastAsia="Times New Roman" w:hAnsi="Tahoma" w:cs="Tahoma"/>
          <w:b/>
          <w:bCs/>
          <w:color w:val="000000"/>
          <w:sz w:val="13"/>
        </w:rPr>
        <w:t>Предложение</w:t>
      </w:r>
      <w:r w:rsidRPr="00DD7BB2">
        <w:rPr>
          <w:rFonts w:ascii="Tahoma" w:eastAsia="Times New Roman" w:hAnsi="Tahoma" w:cs="Tahoma"/>
          <w:color w:val="000000"/>
          <w:sz w:val="13"/>
          <w:szCs w:val="13"/>
        </w:rPr>
        <w:t>: продолжить реализацию мероприятий муниципальной программы «Развитие информационного общества в Пристенском районе Курской области» в 2021 году.</w:t>
      </w:r>
    </w:p>
    <w:p w:rsidR="00560C54" w:rsidRPr="00DD7BB2" w:rsidRDefault="00560C54" w:rsidP="00DD7BB2"/>
    <w:sectPr w:rsidR="00560C54" w:rsidRPr="00DD7BB2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B30DA"/>
    <w:multiLevelType w:val="multilevel"/>
    <w:tmpl w:val="A6C2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EB2488"/>
    <w:multiLevelType w:val="multilevel"/>
    <w:tmpl w:val="56824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3318CB"/>
    <w:multiLevelType w:val="multilevel"/>
    <w:tmpl w:val="C43A6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07006"/>
    <w:multiLevelType w:val="multilevel"/>
    <w:tmpl w:val="DED8A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243528"/>
    <w:multiLevelType w:val="multilevel"/>
    <w:tmpl w:val="F32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AB680C"/>
    <w:multiLevelType w:val="multilevel"/>
    <w:tmpl w:val="C4CA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E9401F"/>
    <w:multiLevelType w:val="multilevel"/>
    <w:tmpl w:val="2CD68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775A7"/>
    <w:multiLevelType w:val="multilevel"/>
    <w:tmpl w:val="CC3A7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DD0807"/>
    <w:multiLevelType w:val="multilevel"/>
    <w:tmpl w:val="5D40E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685D2D"/>
    <w:multiLevelType w:val="multilevel"/>
    <w:tmpl w:val="7E70F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FD30ED"/>
    <w:multiLevelType w:val="multilevel"/>
    <w:tmpl w:val="4C8E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636B18"/>
    <w:multiLevelType w:val="multilevel"/>
    <w:tmpl w:val="75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8919F1"/>
    <w:multiLevelType w:val="multilevel"/>
    <w:tmpl w:val="B77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D3676A"/>
    <w:multiLevelType w:val="multilevel"/>
    <w:tmpl w:val="48C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7E4D2B"/>
    <w:multiLevelType w:val="multilevel"/>
    <w:tmpl w:val="43D8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475963"/>
    <w:multiLevelType w:val="multilevel"/>
    <w:tmpl w:val="05863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E40CE9"/>
    <w:multiLevelType w:val="multilevel"/>
    <w:tmpl w:val="00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621B01"/>
    <w:multiLevelType w:val="multilevel"/>
    <w:tmpl w:val="7D8CD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3400EA"/>
    <w:multiLevelType w:val="multilevel"/>
    <w:tmpl w:val="78862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9031CD"/>
    <w:multiLevelType w:val="multilevel"/>
    <w:tmpl w:val="6464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6574A"/>
    <w:multiLevelType w:val="multilevel"/>
    <w:tmpl w:val="119E5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46043A"/>
    <w:multiLevelType w:val="multilevel"/>
    <w:tmpl w:val="9D6E2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67412"/>
    <w:multiLevelType w:val="multilevel"/>
    <w:tmpl w:val="34C25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3"/>
  </w:num>
  <w:num w:numId="5">
    <w:abstractNumId w:val="10"/>
  </w:num>
  <w:num w:numId="6">
    <w:abstractNumId w:val="9"/>
  </w:num>
  <w:num w:numId="7">
    <w:abstractNumId w:val="31"/>
  </w:num>
  <w:num w:numId="8">
    <w:abstractNumId w:val="17"/>
  </w:num>
  <w:num w:numId="9">
    <w:abstractNumId w:val="0"/>
  </w:num>
  <w:num w:numId="10">
    <w:abstractNumId w:val="16"/>
  </w:num>
  <w:num w:numId="11">
    <w:abstractNumId w:val="20"/>
  </w:num>
  <w:num w:numId="12">
    <w:abstractNumId w:val="18"/>
  </w:num>
  <w:num w:numId="13">
    <w:abstractNumId w:val="7"/>
  </w:num>
  <w:num w:numId="14">
    <w:abstractNumId w:val="25"/>
  </w:num>
  <w:num w:numId="15">
    <w:abstractNumId w:val="27"/>
  </w:num>
  <w:num w:numId="16">
    <w:abstractNumId w:val="23"/>
  </w:num>
  <w:num w:numId="17">
    <w:abstractNumId w:val="13"/>
  </w:num>
  <w:num w:numId="18">
    <w:abstractNumId w:val="8"/>
  </w:num>
  <w:num w:numId="19">
    <w:abstractNumId w:val="6"/>
  </w:num>
  <w:num w:numId="20">
    <w:abstractNumId w:val="11"/>
  </w:num>
  <w:num w:numId="21">
    <w:abstractNumId w:val="29"/>
  </w:num>
  <w:num w:numId="22">
    <w:abstractNumId w:val="26"/>
  </w:num>
  <w:num w:numId="23">
    <w:abstractNumId w:val="1"/>
  </w:num>
  <w:num w:numId="24">
    <w:abstractNumId w:val="5"/>
  </w:num>
  <w:num w:numId="25">
    <w:abstractNumId w:val="2"/>
  </w:num>
  <w:num w:numId="26">
    <w:abstractNumId w:val="12"/>
  </w:num>
  <w:num w:numId="27">
    <w:abstractNumId w:val="15"/>
  </w:num>
  <w:num w:numId="28">
    <w:abstractNumId w:val="22"/>
  </w:num>
  <w:num w:numId="29">
    <w:abstractNumId w:val="4"/>
  </w:num>
  <w:num w:numId="30">
    <w:abstractNumId w:val="32"/>
  </w:num>
  <w:num w:numId="31">
    <w:abstractNumId w:val="19"/>
  </w:num>
  <w:num w:numId="32">
    <w:abstractNumId w:val="28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135A29"/>
    <w:rsid w:val="00056DAD"/>
    <w:rsid w:val="00081C89"/>
    <w:rsid w:val="00082DE4"/>
    <w:rsid w:val="000E1C13"/>
    <w:rsid w:val="000F13B9"/>
    <w:rsid w:val="00120E3E"/>
    <w:rsid w:val="001229E1"/>
    <w:rsid w:val="00130EEA"/>
    <w:rsid w:val="00135A29"/>
    <w:rsid w:val="00145550"/>
    <w:rsid w:val="00226289"/>
    <w:rsid w:val="002D7D74"/>
    <w:rsid w:val="00331A81"/>
    <w:rsid w:val="00344EE3"/>
    <w:rsid w:val="00350D34"/>
    <w:rsid w:val="003C5CFD"/>
    <w:rsid w:val="00406A85"/>
    <w:rsid w:val="0043007D"/>
    <w:rsid w:val="00435B9F"/>
    <w:rsid w:val="00451B7F"/>
    <w:rsid w:val="004D1F02"/>
    <w:rsid w:val="004D73A8"/>
    <w:rsid w:val="004E56B1"/>
    <w:rsid w:val="00560C54"/>
    <w:rsid w:val="005D772F"/>
    <w:rsid w:val="005E772B"/>
    <w:rsid w:val="00620345"/>
    <w:rsid w:val="006A3BBE"/>
    <w:rsid w:val="006A48AE"/>
    <w:rsid w:val="006A52EB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A363F"/>
    <w:rsid w:val="009B2A07"/>
    <w:rsid w:val="00A36F17"/>
    <w:rsid w:val="00AE2AA4"/>
    <w:rsid w:val="00AE4688"/>
    <w:rsid w:val="00AE6AAF"/>
    <w:rsid w:val="00AF475A"/>
    <w:rsid w:val="00B01FAD"/>
    <w:rsid w:val="00C71C62"/>
    <w:rsid w:val="00CE4463"/>
    <w:rsid w:val="00CF6855"/>
    <w:rsid w:val="00DD7BB2"/>
    <w:rsid w:val="00DF57C2"/>
    <w:rsid w:val="00DF6C70"/>
    <w:rsid w:val="00E10C97"/>
    <w:rsid w:val="00F11C7C"/>
    <w:rsid w:val="00F12114"/>
    <w:rsid w:val="00F9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F1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13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365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5998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2311</Words>
  <Characters>13178</Characters>
  <Application>Microsoft Office Word</Application>
  <DocSecurity>0</DocSecurity>
  <Lines>109</Lines>
  <Paragraphs>30</Paragraphs>
  <ScaleCrop>false</ScaleCrop>
  <Company>SPecialiST RePack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2023-10-30T05:37:00Z</dcterms:created>
  <dcterms:modified xsi:type="dcterms:W3CDTF">2023-10-30T09:30:00Z</dcterms:modified>
</cp:coreProperties>
</file>