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szCs w:val="13"/>
          <w:lang w:eastAsia="ru-RU"/>
        </w:rPr>
        <w:br/>
      </w:r>
      <w:r w:rsidRPr="00230760">
        <w:rPr>
          <w:rFonts w:ascii="Tahoma" w:eastAsia="Times New Roman" w:hAnsi="Tahoma" w:cs="Tahoma"/>
          <w:b/>
          <w:bCs/>
          <w:color w:val="000000"/>
          <w:sz w:val="13"/>
          <w:lang w:eastAsia="ru-RU"/>
        </w:rPr>
        <w:t>ГОДОВОЙ ОТЧЕТ</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о ходе реализации и оценке эффективности муниципальной программы «Профилактика правонарушений в Пристенском районе Курской области на      2017 – 2019 годы</w:t>
      </w:r>
      <w:r w:rsidRPr="00230760">
        <w:rPr>
          <w:rFonts w:ascii="Tahoma" w:eastAsia="Times New Roman" w:hAnsi="Tahoma" w:cs="Tahoma"/>
          <w:b/>
          <w:bCs/>
          <w:color w:val="000000"/>
          <w:sz w:val="13"/>
          <w:lang w:eastAsia="ru-RU"/>
        </w:rPr>
        <w:t>» за 2019 год</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Ответственный исполнитель  -   отдел ГО и ЧС и координации деятельности в сфере правопорядка Администрации  Пристенского района Курской области</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Непосредственный исполнитель –  главный специалист- эксперт  отдела ГО и ЧС и координации деятельности в сфере правопорядка Администрации Пристенского района Курской области Прокопов О.А.. тел. 2-12-69, otdelgo</w:t>
      </w:r>
      <w:r w:rsidRPr="00230760">
        <w:rPr>
          <w:rFonts w:ascii="Tahoma" w:eastAsia="Times New Roman" w:hAnsi="Tahoma" w:cs="Tahoma"/>
          <w:color w:val="000000"/>
          <w:sz w:val="13"/>
          <w:szCs w:val="13"/>
          <w:lang w:eastAsia="ru-RU"/>
        </w:rPr>
        <w:softHyphen/>
      </w:r>
      <w:r w:rsidRPr="00230760">
        <w:rPr>
          <w:rFonts w:ascii="Tahoma" w:eastAsia="Times New Roman" w:hAnsi="Tahoma" w:cs="Tahoma"/>
          <w:color w:val="000000"/>
          <w:sz w:val="13"/>
          <w:szCs w:val="13"/>
          <w:lang w:eastAsia="ru-RU"/>
        </w:rPr>
        <w:softHyphen/>
      </w:r>
      <w:r w:rsidRPr="00230760">
        <w:rPr>
          <w:rFonts w:ascii="Tahoma" w:eastAsia="Times New Roman" w:hAnsi="Tahoma" w:cs="Tahoma"/>
          <w:color w:val="000000"/>
          <w:sz w:val="13"/>
          <w:szCs w:val="13"/>
          <w:lang w:eastAsia="ru-RU"/>
        </w:rPr>
        <w:softHyphen/>
      </w:r>
      <w:r w:rsidRPr="00230760">
        <w:rPr>
          <w:rFonts w:ascii="Tahoma" w:eastAsia="Times New Roman" w:hAnsi="Tahoma" w:cs="Tahoma"/>
          <w:color w:val="000000"/>
          <w:sz w:val="13"/>
          <w:szCs w:val="13"/>
          <w:lang w:eastAsia="ru-RU"/>
        </w:rPr>
        <w:softHyphen/>
        <w:t>_pristen@mail.ru</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Начальник  отдела ГО и ЧС и координации деятельности в сфере правопорядка</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Администрации Пристенского района</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Курской области                                                                                     М.В.Осинкин</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За отчетный период  отделом отдела ГО и ЧС и координации деятельности в сфере правопорядка Администрации Пристенского района Курской области осуществлялась реализация мероприятий в рамках муниципальной программы «Профилактика правонарушений в Пристенском районе Курской области на      2017 – 2019 годы</w:t>
      </w:r>
      <w:r w:rsidRPr="00230760">
        <w:rPr>
          <w:rFonts w:ascii="Tahoma" w:eastAsia="Times New Roman" w:hAnsi="Tahoma" w:cs="Tahoma"/>
          <w:b/>
          <w:bCs/>
          <w:color w:val="000000"/>
          <w:sz w:val="13"/>
          <w:lang w:eastAsia="ru-RU"/>
        </w:rPr>
        <w:t>» </w:t>
      </w: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В 2019 году в муниципальную программу «Профилактика правонарушений в Пристенском районе Курской области на      2017 – 2019 годы» были внесены изменения в соответствии с Постановлением Администрации Пристенского района Курской области от 25 декабря 2019 года №751-па. Данные изменения были внесены в связи с внесением изменений в решение Представительного Собрания Пристенского района Курской области от «20» декабря 2018 г. № 6/25 "О бюджете муниципального района «Пристенский район» Курской области на 2019 год и на плановый период 2020 и 2021 годов"  ( с учетом внесенных изменений и дополнений) в связи с изменениями в  финансировании 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Муниципальная программа  была направлена на  дальнейшее развитие и совершенствование целенаправленной скоординированной работы органов исполнительной власти по реализации государственной политики в сфере профилактики правонарушений. Целями муниципальной программы являются: обеспечение общественной безопасности и безопасности граждан на территории Пристенского района; совершенствование структуры системы муниципального и общественного воздействия на причины и условия, способствующие совершению правонарушений и преступлений на территории Пристенского района; устранение причин и условий, порождающих коррупцию;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 совершенствование системы социально-психологической и профессиональной реабилитации и адаптации лиц, освободившихся из мест лишения свободы, а также лиц без определенного места жительства; повышение доверия общества к правоохранительным органам.</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Достижение целей муниципальной программы осуществлялось через решение следующих задач: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повышение уровня защиты жизни, здоровья и безопасности граждан на территории Пристенского района Курской области, профилактике незаконной трудовой миграции; активизация участия и усиление взаимодействия территориальных органов федеральных органов исполнительной власти, органов исполнительной власти и органов местного самоуправления Пристенского района в сфере предупреждения преступлений и иных правонарушений, вовлечение в деятельность по профилактике правонарушений и охране общественного порядка общественных и иных организаций всех форм собственности, в том числе общественных формирований правоохранительной направленности; предупреждение проявлений экстремизма и терроризма. Формирование в обществе толерантного отношения к расовому, национальному, религиозному, идеологическому многообразию. Противодействие организованной преступности; профилактика коррупции в органах местного самоуправления, формирование в обществе негативного отношения к коррупционному поведению; оптимизация работы по предупреждению и профилактике преступлений и иных правонарушений, совершенных на улицах и в других общественных местах; усиление социальной профилактики правонарушений среди несовершеннолетних и молодежи, в том числе совершенствование системы педагогического сопровождения и реабилитации несовершеннолетних, отбывших наказание в местах лишения свободы; совершенствование системы социальной профилактики правонарушений, направленное на активизацию борьбы с пьянством, алкоголизмом, токсикоманией, наркоманией; формирование негативного отношения в обществе к совершению правонарушений, а также к потреблению пива, алкогольных напитков, токсических веществ, немедицинскому потреблению наркотиков, пропаганда ценностей здоровья и здорового образа жизни; профилактика рецидивной преступности, в том числе среди осужденных к наказаниям, не связанным с лишением свободы. Формирование и развитие межведомственной системы ресоциализации лиц, освободившихся из мест лишения свободы; реализация мер социальной поддержки лиц, освободившихся из мест лишения свободы, и лиц без определенного места жительства, направленных на восстановление утраченных социальных связей; содействие трудовой занятости лиц, отбывающих наказание и освободившихся из мест лишения свободы; формирование позитивного общественного мнения о правоохранительной системе и результатах ее деятельности, восстановление доверия общества к правоохранительным органам</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Сведения об использовании бюджетных ассигнований бюджета муниципального района «Пристенский район» в разрезе средств               бюджетов различных уровней приведены в табл.1</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(тыс. руб.)</w:t>
      </w:r>
    </w:p>
    <w:tbl>
      <w:tblPr>
        <w:tblW w:w="7505" w:type="dxa"/>
        <w:tblCellSpacing w:w="0" w:type="dxa"/>
        <w:shd w:val="clear" w:color="auto" w:fill="EEEEEE"/>
        <w:tblCellMar>
          <w:left w:w="0" w:type="dxa"/>
          <w:right w:w="0" w:type="dxa"/>
        </w:tblCellMar>
        <w:tblLook w:val="04A0"/>
      </w:tblPr>
      <w:tblGrid>
        <w:gridCol w:w="2459"/>
        <w:gridCol w:w="1115"/>
        <w:gridCol w:w="1148"/>
        <w:gridCol w:w="1155"/>
        <w:gridCol w:w="814"/>
        <w:gridCol w:w="814"/>
      </w:tblGrid>
      <w:tr w:rsidR="00230760" w:rsidRPr="00230760" w:rsidTr="00230760">
        <w:trPr>
          <w:tblCellSpacing w:w="0" w:type="dxa"/>
        </w:trPr>
        <w:tc>
          <w:tcPr>
            <w:tcW w:w="3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Функциональная классификация расходов</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Предусмотрено решением о бюджете</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Предусмотрено муниципальной программой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Кассовое исполнение (факт) за отчетный год</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Процент исполнения расходов,  %</w:t>
            </w:r>
          </w:p>
        </w:tc>
      </w:tr>
      <w:tr w:rsidR="00230760" w:rsidRPr="00230760" w:rsidTr="00230760">
        <w:trPr>
          <w:tblCellSpacing w:w="0" w:type="dxa"/>
        </w:trPr>
        <w:tc>
          <w:tcPr>
            <w:tcW w:w="3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3</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i/>
                <w:iCs/>
                <w:color w:val="000000"/>
                <w:sz w:val="13"/>
                <w:lang w:eastAsia="ru-RU"/>
              </w:rPr>
              <w:t>6</w:t>
            </w:r>
          </w:p>
        </w:tc>
      </w:tr>
      <w:tr w:rsidR="00230760" w:rsidRPr="00230760" w:rsidTr="00230760">
        <w:trPr>
          <w:tblCellSpacing w:w="0" w:type="dxa"/>
        </w:trPr>
        <w:tc>
          <w:tcPr>
            <w:tcW w:w="3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3</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4</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i/>
                <w:iCs/>
                <w:color w:val="000000"/>
                <w:sz w:val="13"/>
                <w:lang w:eastAsia="ru-RU"/>
              </w:rPr>
              <w:t>6</w:t>
            </w:r>
          </w:p>
        </w:tc>
      </w:tr>
      <w:tr w:rsidR="00230760" w:rsidRPr="00230760" w:rsidTr="00230760">
        <w:trPr>
          <w:tblCellSpacing w:w="0" w:type="dxa"/>
        </w:trPr>
        <w:tc>
          <w:tcPr>
            <w:tcW w:w="3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xml:space="preserve">Муниципальная программа "Профилактика  правонарушений в </w:t>
            </w:r>
            <w:r w:rsidRPr="00230760">
              <w:rPr>
                <w:rFonts w:ascii="Tahoma" w:eastAsia="Times New Roman" w:hAnsi="Tahoma" w:cs="Tahoma"/>
                <w:color w:val="000000"/>
                <w:sz w:val="13"/>
                <w:szCs w:val="13"/>
                <w:lang w:eastAsia="ru-RU"/>
              </w:rPr>
              <w:lastRenderedPageBreak/>
              <w:t>Пристенском районе Курской области на 2017-2019 годы"</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lastRenderedPageBreak/>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429,8</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429,8</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427,5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99,5</w:t>
            </w:r>
          </w:p>
        </w:tc>
      </w:tr>
      <w:tr w:rsidR="00230760" w:rsidRPr="00230760" w:rsidTr="00230760">
        <w:trPr>
          <w:tblCellSpacing w:w="0" w:type="dxa"/>
        </w:trPr>
        <w:tc>
          <w:tcPr>
            <w:tcW w:w="3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lastRenderedPageBreak/>
              <w:t>- средства местного бюджета</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133,8</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133,8</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131,5</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98,3</w:t>
            </w:r>
          </w:p>
        </w:tc>
      </w:tr>
      <w:tr w:rsidR="00230760" w:rsidRPr="00230760" w:rsidTr="00230760">
        <w:trPr>
          <w:tblCellSpacing w:w="0" w:type="dxa"/>
        </w:trPr>
        <w:tc>
          <w:tcPr>
            <w:tcW w:w="3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средства областного бюджета</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296,0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296,0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296,0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100,0</w:t>
            </w:r>
          </w:p>
        </w:tc>
      </w:tr>
      <w:tr w:rsidR="00230760" w:rsidRPr="00230760" w:rsidTr="00230760">
        <w:trPr>
          <w:tblCellSpacing w:w="0" w:type="dxa"/>
        </w:trPr>
        <w:tc>
          <w:tcPr>
            <w:tcW w:w="3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в т.ч. в разрезе  разделов, подраздела бюджетной классификации расходов</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tc>
      </w:tr>
      <w:tr w:rsidR="00230760" w:rsidRPr="00230760" w:rsidTr="00230760">
        <w:trPr>
          <w:tblCellSpacing w:w="0" w:type="dxa"/>
        </w:trPr>
        <w:tc>
          <w:tcPr>
            <w:tcW w:w="3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0104</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301,7</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301,7</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300,8</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99,7</w:t>
            </w:r>
          </w:p>
        </w:tc>
      </w:tr>
      <w:tr w:rsidR="00230760" w:rsidRPr="00230760" w:rsidTr="00230760">
        <w:trPr>
          <w:tblCellSpacing w:w="0" w:type="dxa"/>
        </w:trPr>
        <w:tc>
          <w:tcPr>
            <w:tcW w:w="3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Общее образование</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0702</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122,1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122,1</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120,7</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98,9</w:t>
            </w:r>
          </w:p>
        </w:tc>
      </w:tr>
      <w:tr w:rsidR="00230760" w:rsidRPr="00230760" w:rsidTr="00230760">
        <w:trPr>
          <w:tblCellSpacing w:w="0" w:type="dxa"/>
        </w:trPr>
        <w:tc>
          <w:tcPr>
            <w:tcW w:w="34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Культура</w:t>
            </w:r>
          </w:p>
        </w:tc>
        <w:tc>
          <w:tcPr>
            <w:tcW w:w="9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0801</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6,0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6,0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6,0</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100,0</w:t>
            </w:r>
          </w:p>
        </w:tc>
      </w:tr>
    </w:tbl>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Информация об бюджетных ассигнованиях, при реализации  муниципальной программы приведена в табл.2</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(тыс. руб.)</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828"/>
        <w:gridCol w:w="1248"/>
        <w:gridCol w:w="888"/>
        <w:gridCol w:w="1092"/>
        <w:gridCol w:w="1056"/>
      </w:tblGrid>
      <w:tr w:rsidR="00230760" w:rsidRPr="00230760" w:rsidTr="00230760">
        <w:trPr>
          <w:tblCellSpacing w:w="0" w:type="dxa"/>
        </w:trPr>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Наименование</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ЦСР</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План</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2018 г</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Факт</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2018 г</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Процент исполнения расходов,  %</w:t>
            </w:r>
          </w:p>
        </w:tc>
      </w:tr>
      <w:tr w:rsidR="00230760" w:rsidRPr="00230760" w:rsidTr="00230760">
        <w:trPr>
          <w:tblCellSpacing w:w="0" w:type="dxa"/>
        </w:trPr>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Муниципальная программа «Профилактика правонарушений в Пристенском районе Курской области на      2017 – 2019 годы</w:t>
            </w:r>
            <w:r w:rsidRPr="00230760">
              <w:rPr>
                <w:rFonts w:ascii="Tahoma" w:eastAsia="Times New Roman" w:hAnsi="Tahoma" w:cs="Tahoma"/>
                <w:b/>
                <w:bCs/>
                <w:color w:val="000000"/>
                <w:sz w:val="13"/>
                <w:lang w:eastAsia="ru-RU"/>
              </w:rPr>
              <w:t>» </w:t>
            </w:r>
            <w:r w:rsidRPr="00230760">
              <w:rPr>
                <w:rFonts w:ascii="Tahoma" w:eastAsia="Times New Roman" w:hAnsi="Tahoma" w:cs="Tahoma"/>
                <w:color w:val="000000"/>
                <w:sz w:val="13"/>
                <w:szCs w:val="13"/>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12</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429,780</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427,482</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99,5</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r>
      <w:tr w:rsidR="00230760" w:rsidRPr="00230760" w:rsidTr="00230760">
        <w:trPr>
          <w:tblCellSpacing w:w="0" w:type="dxa"/>
        </w:trPr>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i/>
                <w:iCs/>
                <w:color w:val="000000"/>
                <w:sz w:val="13"/>
                <w:lang w:eastAsia="ru-RU"/>
              </w:rPr>
              <w:t>Подпрограмма «Управление муниципальной программой и обеспечение условий реализации»</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i/>
                <w:iCs/>
                <w:color w:val="000000"/>
                <w:sz w:val="13"/>
                <w:lang w:eastAsia="ru-RU"/>
              </w:rPr>
              <w:t>12.1</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296,000</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296,200</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100</w:t>
            </w:r>
          </w:p>
        </w:tc>
      </w:tr>
      <w:tr w:rsidR="00230760" w:rsidRPr="00230760" w:rsidTr="00230760">
        <w:trPr>
          <w:tblCellSpacing w:w="0" w:type="dxa"/>
        </w:trPr>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Основное мероприятие «Обеспечение деятельности комиссии по делам несовершеннолетних и защите их прав в Пристенском районе»»</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12 1.0100000</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296,000</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296,000</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100</w:t>
            </w:r>
          </w:p>
        </w:tc>
      </w:tr>
      <w:tr w:rsidR="00230760" w:rsidRPr="00230760" w:rsidTr="00230760">
        <w:trPr>
          <w:tblCellSpacing w:w="0" w:type="dxa"/>
        </w:trPr>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i/>
                <w:iCs/>
                <w:color w:val="000000"/>
                <w:sz w:val="13"/>
                <w:lang w:eastAsia="ru-RU"/>
              </w:rPr>
              <w:t>Подпрограмма « Обеспечение правопорядка на территории муниципального образования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i/>
                <w:iCs/>
                <w:color w:val="000000"/>
                <w:sz w:val="13"/>
                <w:lang w:eastAsia="ru-RU"/>
              </w:rPr>
              <w:t>12 2</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133,780</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131,482</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98,3</w:t>
            </w:r>
          </w:p>
        </w:tc>
      </w:tr>
      <w:tr w:rsidR="00230760" w:rsidRPr="00230760" w:rsidTr="00230760">
        <w:trPr>
          <w:tblCellSpacing w:w="0" w:type="dxa"/>
        </w:trPr>
        <w:tc>
          <w:tcPr>
            <w:tcW w:w="38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Основное мероприятие «Мероприятия, направленные на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12 2 0100000</w:t>
            </w:r>
          </w:p>
        </w:tc>
        <w:tc>
          <w:tcPr>
            <w:tcW w:w="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133,780</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131,482</w:t>
            </w:r>
          </w:p>
        </w:tc>
        <w:tc>
          <w:tcPr>
            <w:tcW w:w="10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98,3</w:t>
            </w:r>
          </w:p>
        </w:tc>
      </w:tr>
    </w:tbl>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В  рамках мероприятия  «Обеспечение деятельности комиссии по делам несовершеннолетних и защите их прав Пристенского района:</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 за счет субвенции, предоставляемой из областного бюджета средств»     Администрацией Пристенского района Курской области в 2019 году было использовано средств субвенций на сумму 296,200 руб., в том числе:</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   заработная плата специалиста                                          - 296,200  руб.;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Основными приоритетными направлениями деятельности органов и учреждений системы профилактики Пристенского района Курской области в 2019 году являлись:</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повышение качества и эффективности работы системы профилактики преступлений и иных правонарушений несовершеннолетних и в их отношении; обеспечение на территории Пристенского района взаимодействия органов и учреждений системы профилактики безнадзорности и правонарушений несовершеннолетних;</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своевременное выявление несовершеннолетних и семей, находящихся в социально-опасном положении, организации их социально-педагогической реабилитации; обеспечение постоянного учета и охвата индивидуальной профилактической работой по предупреждению совершения правонарушений и антиобщественных действий несовершеннолетних и родителей или иных законных представителей, находящихся в социально опасном положении;  профилактика семейного неблагополучия и социального сиротства, развития семейных форм устройства детей-сирот и детей, оставшихся без попечения родителей, оказание поддержки и помощи семьям, оказавшимся в кризисной ситуации;</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создание эффективной системы профилактики правонарушений, совершаемых в отношении детей, и правонарушений самих детей, системы правосудия и системы исполнения наказаний, дружественных к ребенку;</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 развитие и организация сети школьных служб примирения, нацеленных на разрешение конфликтов в образовательных организациях, профилактику правонарушении  детей и подростков, улучшение отношений в образовательном учреждении;</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профилактика рецидивной преступности, в том числе среди несовершеннолетних, осужденных к наказаниям, не связанным с лишением свободы;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-создание условий для вовлечения молодежи в активную общественную деятельность, гражданско-патриотическое воспитание молодежи; поддержка общественно значимых инициатив, общественно полезной деятельности молодежи, молодежных, детских общественных объединений; повышение качества профилактической работы с несовершеннолетними и родителями, состоящими на учете в КДН и ЗП; увеличение занятости несовершеннолетних досуговой деятельностью.</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i/>
          <w:iCs/>
          <w:color w:val="000000"/>
          <w:sz w:val="13"/>
          <w:lang w:eastAsia="ru-RU"/>
        </w:rPr>
        <w:t>В  рамках мероприятия  «Обеспечение деятельности комиссии по делам несовершеннолетних и защите их прав Пристенского района была проведена следующая работа:</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1.На территории Пристенского района  организованы и проведены  акции по выявлению детей, нуждающихся в защите государства:  с 01 апреля по 30 апреля 2019 года, утвержденная Постановлением Администрации Пристенского района Курской области от 20 марта 2019 года № 187-па; с 01 сентября по 30  сентября 2019 года, утвержденная Постановлением Администрации Пристенского района Курской области от 22 августа 2019 года № 538-па;  с 05 июня по 30 августа 2019 года на территории района проводилась комплексная оперативно-профилактическая операция «Подросток», утвержденная Постановлением Администрации Пристенского района Курской области от 31 мая 2019 года № 334-па;</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2. Ежеквартально проводились сверки между КДН и ЗП Пристенского района и Солнцевским МФ ФКУ УИИ УФСИН России по Курской области и проводился мониторинг жизнеустройства и занятости несовершеннолетних, освобожденных из учреждений уголовно - исполнительной системы, вернувшихся из специальных учебно-воспитательных учреждений закрытого типа, осужденных условно, их местонахождение и занятости. Проведение совместных мероприятий по проверке образа жизни и обследования жилищно-бытовых условий несовершеннолетних, осужденных без изоляции от общества. По результатам сверки в  2019 году  несовершеннолетних данной категории на учете не состояло;</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3.На постоянной основе велась профилактическая работа с несовершеннолетними и семьями, состоящими на учете в КДН и ЗП Пристенского района. Органами и учреждениями системы профилактики проводится обследование семей, находящихся в ТЖС и СОП, оказывается им социальная, психологическая и медицинская помощь. Специалисты ОКУ «Солнцевский центр соцпомощи» осуществляют работу с семьями и несовершеннолетними, состоящими на учете в КДН и ЗП. Ежемесячно посещались данные семьи с целью профилактических бесед с родителями и несовершеннолетними, а также оказания семьям различных видов помощи;</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4. Согласно плановых мероприятий Администрации Курской области  ответственный секретарь комиссия по делам несовершеннолетних и защите их прав Администрации Пристенского района Курской области принимала участие в обучающих семинарах, совещаниях для ответственных секретарей КДН и ЗП;</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5. В каникулярное время приоритетным являлась организация трудоустройства и занятости подростков, состоящих на учете в комиссии по делам несовершеннолетних и защите их прав и органах внутренних дел. С 05 июня по 30 августа 2019 года на территории района проводилась комплексная оперативно-профилактическая операция «Подросток», утвержденная Постановлением Администрации Пристенского района Курской области от 31 мая 2019 года № 334-па;</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xml:space="preserve">6. Органами и учреждениями системы профилактики проводилась работа по лечению родителей, имеющих несовершеннолетних детей, от алкогольной и наркотической зависимости, в целях профилактики случаев лишений или ограничений граждан в родительских правах. Разрабатывалась и </w:t>
      </w:r>
      <w:r w:rsidRPr="00230760">
        <w:rPr>
          <w:rFonts w:ascii="Tahoma" w:eastAsia="Times New Roman" w:hAnsi="Tahoma" w:cs="Tahoma"/>
          <w:color w:val="000000"/>
          <w:sz w:val="13"/>
          <w:szCs w:val="13"/>
          <w:lang w:eastAsia="ru-RU"/>
        </w:rPr>
        <w:lastRenderedPageBreak/>
        <w:t>реализуется межведомственная программа реабилитации несовершеннолетних и  семей, находящихся в СОП и ТЖС. Закрепляются кураторы ситуации за семьями с детьми, находящимися в ТЖС и СОП из числа специалистов органов и учреждений системы профилактики.</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КДН и ЗП Пристенского района на постоянной основе проводились рейдовые мероприятия, направленные на выявление несовершеннолетних, склонных к употреблению наркотических, токсических и иных одурманивающих средств. С 01 ноября по 30 ноября 2019 года на территории района проводился антинаркотический месячник «Курский край - без наркотиков». Несовершеннолетних данной категории выявлено не было. На учете в КДН и ЗП Пристенского района несовершеннолетних склонных к употреблению наркотических, токсических и иных одурманивающих  средств  по состоянию на 01.01.2020 года состоит;</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7. За период 2019 года в КДН и ЗП Пристенского района на несовершеннолетних поступило 29 протоколов из них: - ст. 6.24 КоАП РФ -4; ст. 11.1 ч. 5 КоАП РФ- 1; ст. 12.7 КоАП РФ- 5; ст. 20.1 КоАП РФ - 5; ст. 20.20 КоАП РФ - 5 ст. 20.21 КоАП РФ - 2; по иным статьям КоАП РФ - 7.</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Вынесенных постановлений о прекращении производства по делу об административных правонарушениях несовершеннолетних не было, 29 - вынесенных постановлений о назначении административного наказания несовершеннолетним (28 - штрафов, 1 – предупреждение). Сумма наложенных штрафов на несовершеннолетних составила 97800 рублей, сумма взысканных штрафов с несовершеннолетних составила – 138792. Количество штрафов уплаченных добровольно - 21.</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В рамках  основного мероприятия «Мероприятия, направленное на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w:t>
      </w:r>
      <w:r w:rsidRPr="00230760">
        <w:rPr>
          <w:rFonts w:ascii="Tahoma" w:eastAsia="Times New Roman" w:hAnsi="Tahoma" w:cs="Tahoma"/>
          <w:b/>
          <w:bCs/>
          <w:color w:val="000000"/>
          <w:sz w:val="13"/>
          <w:lang w:eastAsia="ru-RU"/>
        </w:rPr>
        <w:t> </w:t>
      </w:r>
      <w:r w:rsidRPr="00230760">
        <w:rPr>
          <w:rFonts w:ascii="Tahoma" w:eastAsia="Times New Roman" w:hAnsi="Tahoma" w:cs="Tahoma"/>
          <w:color w:val="000000"/>
          <w:sz w:val="13"/>
          <w:szCs w:val="13"/>
          <w:lang w:eastAsia="ru-RU"/>
        </w:rPr>
        <w:t>за счет средств бюджета МО «Пристенский район»   были приобретены: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форменная одежда для  членов военно-патриотического клубов « ЮНАРМИЯ»   на сумму120,662 рубля;</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Нарукавные повязки и манишки для членов Народной дружины «НД Пристенского района» на сумму 4800 рублей;</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Литература по профилактике правонарушений для Районной межпоселенческой библиотеки на сумму 6000 рублей.</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Общая сумма израсходованных средств местного бюджета составила131482 рубля   (план составлял 133780 рублей).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i/>
          <w:iCs/>
          <w:color w:val="000000"/>
          <w:sz w:val="13"/>
          <w:lang w:eastAsia="ru-RU"/>
        </w:rPr>
        <w:t>В рамках  основного мероприятия «Мероприятия, направленное на 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  органами профилактики проводилась следующая работа:</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i/>
          <w:i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1.Управлением образования, опеки и попечительства:</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а)</w:t>
      </w:r>
      <w:r w:rsidRPr="00230760">
        <w:rPr>
          <w:rFonts w:ascii="Tahoma" w:eastAsia="Times New Roman" w:hAnsi="Tahoma" w:cs="Tahoma"/>
          <w:color w:val="000000"/>
          <w:sz w:val="13"/>
          <w:szCs w:val="13"/>
          <w:lang w:eastAsia="ru-RU"/>
        </w:rPr>
        <w:t> В целях повышения эффективности  работы по профилактике правонарушений и преступлений обучающихся (в том числе и на почве экстремизма и расовой неприязни) в планы работы образовательных учреждений района на 2018-2019, 2019-2020 уч.г. включены разделы взаимодействия с такими общественными организациями и движениями Курской области как Курская региональная детско-молодежная общественная организация «Школа молодежных лидеров», Курская региональная молодежная общественная организация «Объединенный центр «Монолит», Курская областная молодежная общественная патриотическая организация Центр «Поиск», региональное отделение Всероссийской общественной организации «Молодая Гвардия Единой России» Курской области, областное общественное объединение «Курский союз детских, пионерских организаций», Курская областная детская общественная организация «Детский центр мира». Запланированные совместные мероприятия выполнены в полном объеме;</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б)</w:t>
      </w:r>
      <w:r w:rsidRPr="00230760">
        <w:rPr>
          <w:rFonts w:ascii="Tahoma" w:eastAsia="Times New Roman" w:hAnsi="Tahoma" w:cs="Tahoma"/>
          <w:color w:val="000000"/>
          <w:sz w:val="13"/>
          <w:szCs w:val="13"/>
          <w:lang w:eastAsia="ru-RU"/>
        </w:rPr>
        <w:t> В период летних каникул 2019 г. общеобразовательные организации района продолжили работу по оздоровлению школьников. В июне 2019 г. – на базах школ работали 5 лагерей с дневным пребыванием 250 учащихся, из них:</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 детей-сирот – 2</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 детей, оставшихся без попечения родителей – 6</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 детей-инвалидов – 8</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 детей из многодетных и неполных семей – 144</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 детей безработных граждан – 13</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 детей и подростков, состоящих на профилактическом учете в органах внутренних дел,- комиссиях по делам несовершеннолетних – 1</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 суммарно детей в ТЖС – 114.</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Кроме лагерей с дневным пребыванием работало 9 оздоровительных площадок, были организованы походы и экскурсии по родному краю.</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В целях организации максимальной занятости подростков в свободное от учёбы время в школах района организована работа 134 кружков и спортивных секций, в которых занимаются 1001 школьник, из них 36 учащихся, состоящих на ВШУ. 12 спортивных клубов школ объединяют в регулярных занятиях физической культурой и спортом 6510 учащихся. В 32 группах 16 кружков ДДТ занимаются 350 школьников, в 23 группах ДЮСШ, действующих на базе 12 образовательных организаций занимаются 340 школьников.Все кружки, секции, общественные объединения работают на бесплатной общедоступной основе;</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в)</w:t>
      </w:r>
      <w:r w:rsidRPr="00230760">
        <w:rPr>
          <w:rFonts w:ascii="Tahoma" w:eastAsia="Times New Roman" w:hAnsi="Tahoma" w:cs="Tahoma"/>
          <w:color w:val="000000"/>
          <w:sz w:val="13"/>
          <w:szCs w:val="13"/>
          <w:lang w:eastAsia="ru-RU"/>
        </w:rPr>
        <w:t> На базе МКОУ «Бобрышевская СОШ» работал лагерь труда и отдыха для 16 школьников старше 14 лет. Работали в строительных бригадах для старшеклассников, на учебно-опытных участках 720 учащихся, из них, состоящих на учете в ПДН – 1,  состоящих на внутришкольном учете – 6.</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Работали на предприятиях, в сельских АО, товариществах 137 учащихся.</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Осуществлено совместно со службой занятости трудоустройство несовершеннолетних в период летних каникул, что позволило не только организовать занятость несовершеннолетних старше 14 лет, но и материально помочь детям из категории ТЖС и находящихся в социально-опасном положении (трудоустроено в весенне-летний каникулярный период 44 несовершеннолетних);</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Образовательные организации района  и работники Управления образования, опеки и попечительства Администрации Пристенского района Курской области принимали активное участие в выполнении мероприятий ежегодной комплексной оперативно-профилактической операции  «Подросток;</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г)</w:t>
      </w:r>
      <w:r w:rsidRPr="00230760">
        <w:rPr>
          <w:rFonts w:ascii="Tahoma" w:eastAsia="Times New Roman" w:hAnsi="Tahoma" w:cs="Tahoma"/>
          <w:color w:val="000000"/>
          <w:sz w:val="13"/>
          <w:szCs w:val="13"/>
          <w:lang w:eastAsia="ru-RU"/>
        </w:rPr>
        <w:t> В феврале 2019 г. 519 учащихся, в сентябре 2019 г 453 учащихся школ района приняли участие в проведении социально-психологического тестирования  обучающихся  8-10 классов  общеобразовательных организаций Курской области на предмет раннего выявления немедицинского потребления алкоголя, наркотических средств, психотропных веществ, курительных смесей, табака. По результатам анкетирования классными руководителями,  зам. директором по ВР, педагогом-психологом, социальным педагогом проводился анализ данных и корректировка планов работы с классными коллективами, в том числе по повышению устойчивости личности подростков к негативному влиянию социального окружения.</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д)</w:t>
      </w:r>
      <w:r w:rsidRPr="00230760">
        <w:rPr>
          <w:rFonts w:ascii="Tahoma" w:eastAsia="Times New Roman" w:hAnsi="Tahoma" w:cs="Tahoma"/>
          <w:color w:val="000000"/>
          <w:sz w:val="13"/>
          <w:szCs w:val="13"/>
          <w:lang w:eastAsia="ru-RU"/>
        </w:rPr>
        <w:t>  Проводились сверки данных о детях, состоящих на профилактическом учёте у  нарколога, за употребление спиртных напитков – на учёте в ПДН, КДН и ЗП.;</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 все общеобразовательные организации приняли участие в 2-х этапах Всероссийской акции «Сообщи, где торгуют смертью» (март, ноябрь 2019 г.);</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в ноябре 2019 г. в образовательных организациях района проведен месячник «Курский край без наркотиков!», в рамках которого:</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оформлены информационные стенды в общеобразовательных организациях района;</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разработаны  и напечатаны листовки и буклеты, которые  распространяются среди учащихся школ и родителей;</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в ходе проведения цикла спортивных соревнований под девизом «Спорт против наркотиков!» организован районные турниры по волейболу, дзюдо</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проведен муниципальный этап конкурса детских электронных презентаций на  лучшую социальную рекламу «Подросток. Правонарушения и ответственность;</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проведена акция «Подросток, знай свои права!» (20 ноября)</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проводились мероприятия антинаркотической тематики для обучающихся  с разъяснением здоровье сберегающих, социальных, нравственных и правовых аспектов проблемы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волонтерский отряд МКОУ «СОШ №2 пос. Пристень» принял участие в проведении акции «Твой выбор – твоя жизнь», в ходе которой было распространено 300 тематических листовок.;</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-е</w:t>
      </w:r>
      <w:r w:rsidRPr="00230760">
        <w:rPr>
          <w:rFonts w:ascii="Tahoma" w:eastAsia="Times New Roman" w:hAnsi="Tahoma" w:cs="Tahoma"/>
          <w:color w:val="000000"/>
          <w:sz w:val="13"/>
          <w:szCs w:val="13"/>
          <w:lang w:eastAsia="ru-RU"/>
        </w:rPr>
        <w:t>) 12 спортивных клубов школ объединяют в регулярных занятиях физической культурой и спортом761 учащихся. В массовых физкультурно-оздоровительных мероприятиях активное участие принимали  учащиеся школ района: Лыжня России – 8, Российский Азимут – 8, Оранжевый мяч -21, Кросс наций – 8, «Президентские состязания», «Президентские игры»  - муниципальный этап  - 185, региональный этап – 29;</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ё)</w:t>
      </w:r>
      <w:r w:rsidRPr="00230760">
        <w:rPr>
          <w:rFonts w:ascii="Tahoma" w:eastAsia="Times New Roman" w:hAnsi="Tahoma" w:cs="Tahoma"/>
          <w:color w:val="000000"/>
          <w:sz w:val="13"/>
          <w:szCs w:val="13"/>
          <w:lang w:eastAsia="ru-RU"/>
        </w:rPr>
        <w:t> ДЮСШ проведено 22 районных соревнования, турниров, первенств, в которых приняло участие 1420 школьников.</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2. Отделом культуры и молодежной политики;</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а) В рамках мероприятий зонального центра военно-патриотического воспитания допризывной молодежи Пристенского района проводились: волонтерские акция: «Волонтеры Победы» уборка памятников, помощь ветеранов и т.п. -  по мере необходимости в течение года, «Георгиевская лента», «Бессмертный полк» в канун празднования Дня Победы 9 мая. Проведено военно-спортивная игра «Зарница» среди школ района- 2 раза в год (май, октябрь).   Проведена работа с поисковым отрядом «Новое поколение» МКОУ «СОШ №2 пос. Пристень»- участие в областной поисковой экспедиции «Вахта памяти». 4 декабря 2019г. состоялось торжественное перезахоронение останков 67 человек, погибших в годы ВОВ в с. Бобрышево, Пристенского района Курской области;</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б) Проведено  социологическое исследования в рамках мониторинга наркоситуации на территории Курской области;</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в) В рамках областного антинаркотического месячника были проведены 5 семинаров и 3 круглых стола среди обучающихся старших классов школ района по профилактике негативных явлений;</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г)  Организованы и проведены Акции «Сообщи где торгуют смертью» 2 раза в год (март, ноябрь), «Курский край без наркотиков»-распространение тематических листовок, рекламных буклетов, проведение спортивных мероприятий, лекции в школах с участием врача –нарколога, кинолектории, тематические культурно-досуговые мероприятия, проведение социологического исследования в рамках мониторинга наркоситуации на территории Пристенского района  Курской области;</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lastRenderedPageBreak/>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3. Солнцевским межмуниципальным филиалом  ФКУ УИИ УФСИН России по Курской области (на территории Пристенского района):</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За   2019 год  на учете  Солнцевского МФ ФКУ УИИ УФСИН России по Курской области ( на территории Пристенского района)  состояло 149 (АППГ- 176) осужденных без изоляции от общества.</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Одной из задач стоящих перед УИИ  в 2019 году являлось предупреждение преступлений и иных правонарушений лицами, состоящими на учете в инспекции. В этих целях сотрудниками филиала нарушителям порядка и условий отбытия наказания выносились предупреждения и в суды направлялись представления по вопросам привлечения их к ответственности-продления испытательного срока, дополнения ранее установленных обязанностей новыми, отмены и замены наказания на лишение свободы. За 2019 год выявлено 53 нарушителя порядка и условий отбывания наказания, в суды Пристенского района направлено 48 представлений. Заменено наказание на лишение свободы  в отношении 17 (15,32 %) (АППГ- 15 (11,19%) осужденных.</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В отношении условно осужденных продлен испытательный срок  - 5 (16,67%) (АППГ-7 (24,14%)) осужденным, дополнены ранее установленные обязанности новыми – 3 (10,00%) (АППГ-6 (20,69%)). Уровень установления осужденным к ограничению свободы дополнительных ограничений составил 25% (АППГ-26,67%).</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Сотрудниками Солнцевского МФ  ФКУ УИИ УФСИН России по Курской области совместно  со службой  участковых  уполномоченных  полиции  Отд МВД  России  по Пристенскому району и ПДН Отд МВД осуществлялись  проверки осужденных по месту жительства, учебы и работы, в общественных местах с целью своевременного выявления нарушителей и принятия к ним мер профилактического воздействия. За период 2019 года проведено  - 49 совместных мероприятия, в ходе которых проверено 100 % состоящих на учете УИИ, выявлено  16 нарушителей порядка и условий отбывания наказания. В суды Пристенского района по итогам рейдов направлено 11 представлений. При проверке по месту жительства и учебы несовершеннолетних и осужденных с отсрочкой приговора до достижения детьми 14-го возраста привлекаются сотрудники Солнцевского межрайонного Центра социальной помощи семье и детям  по Пристенскому району.</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Ежеквартально Солнцевским МФ ФКУ УИИ УФСИН России по Курской области в отношении  всех категорий осужденных в ОтдМВД России по Пристенскому району направляются списки состоящих на учете.</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Для выявления лиц, склонных к совершению правонарушений из числа условно осужденных и индивидуального прогнозирования их поведения,  в УИИ применяется методика «Портрет». Инспекцией ежемесячно проводился анализ состава осужденных с целью определения круга лиц, относящихся к «Группе риска» (неоднократно судимые,  нарушители порядка и условий отбывания наказания, несовершеннолетние осужденные, осужденные за преступления против половой неприкосновенности и половой свободы личности). По итогам анализа формируется список состоящих на особом контроле УИИ, указанный список направляется в ОМВД ежемесячно.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Для получения наиболее полной информации  инспекцией проводятся специальные проверки осужденных, в том числе по учетам ОВД, ИЦ УВД, запрашиваются характеристики с места работы, учебы и жительства лиц, состоящих на учете УИИ.</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Контроль за исполнением обязанностей и ограничений, возложенных судом,  осуществляется инспекцией с использованием средств  связи,  направления запросов и  посещения организации.</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В отношении  осужденных, имеющих возложенные судом определенные обязанности и ограничения, УИИ информирует организации по месту работы или учебы, о возложенной обязанности пройти курс лечения -  учреждения здравоохранения.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В целях оказания социальной помощи лицам, попавшим в трудную жизненную ситуацию,  инспекцией направляются информации в соответствующие структуры. При постановке на учет  лицам, не имеющим места работы, выдается направление в центр занятости  по Пристенскому району для решения вопроса  трудоустройства. За 2019 год  Уголовно - исполнительной инспекцией  трудоустроено 9 осужденных. В получении утраченных документов  оказана помощь 2 осужденным, в получении медицинских полисов- 1.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r w:rsidRPr="00230760">
        <w:rPr>
          <w:rFonts w:ascii="Tahoma" w:eastAsia="Times New Roman" w:hAnsi="Tahoma" w:cs="Tahoma"/>
          <w:i/>
          <w:iCs/>
          <w:color w:val="000000"/>
          <w:sz w:val="13"/>
          <w:lang w:eastAsia="ru-RU"/>
        </w:rPr>
        <w:t>Принимаемые меры привели к снижению уровня повторной преступности среди осужденных, состоящих на учете инспекции  по сравнению с 2018 годом, так, </w:t>
      </w:r>
      <w:r w:rsidRPr="00230760">
        <w:rPr>
          <w:rFonts w:ascii="Tahoma" w:eastAsia="Times New Roman" w:hAnsi="Tahoma" w:cs="Tahoma"/>
          <w:b/>
          <w:bCs/>
          <w:i/>
          <w:iCs/>
          <w:color w:val="000000"/>
          <w:sz w:val="13"/>
          <w:lang w:eastAsia="ru-RU"/>
        </w:rPr>
        <w:t> </w:t>
      </w:r>
      <w:r w:rsidRPr="00230760">
        <w:rPr>
          <w:rFonts w:ascii="Tahoma" w:eastAsia="Times New Roman" w:hAnsi="Tahoma" w:cs="Tahoma"/>
          <w:i/>
          <w:iCs/>
          <w:color w:val="000000"/>
          <w:sz w:val="13"/>
          <w:lang w:eastAsia="ru-RU"/>
        </w:rPr>
        <w:t>за 2019 года совершено четыре повторных  преступления, что составляет  – 2,68% от прошедших по учетам УИИ ( АППГ- 6 осужденных  или 3,41%).</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i/>
          <w:i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4. Отд.МВД России по Пристенскому району: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В целях реализации целей и задач определенных Муниципальной программой «Профилактика правонарушений в Пристенском районе Курской области на 2017-2019 годы» в 2019 году сотрудниками Отд МВД России по Пристенскому району проводились мероприятия направленные на профилактику правонарушений на территории Пристенского района.</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В результате данной работы оперативная обстановка характеризуется снижением  числа зарегистрированных сообщений о преступлениях и иной информации о происшествиях с 217 до 170 преступлений, динамика -21,7%.</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За 12 месяцев 2019 года возросло количество преступлений связанных с уклонением и несоблюдением  административного надзора</w:t>
      </w:r>
      <w:r w:rsidRPr="00230760">
        <w:rPr>
          <w:rFonts w:ascii="Tahoma" w:eastAsia="Times New Roman" w:hAnsi="Tahoma" w:cs="Tahoma"/>
          <w:b/>
          <w:bCs/>
          <w:color w:val="000000"/>
          <w:sz w:val="13"/>
          <w:lang w:eastAsia="ru-RU"/>
        </w:rPr>
        <w:t> </w:t>
      </w:r>
      <w:r w:rsidRPr="00230760">
        <w:rPr>
          <w:rFonts w:ascii="Tahoma" w:eastAsia="Times New Roman" w:hAnsi="Tahoma" w:cs="Tahoma"/>
          <w:color w:val="000000"/>
          <w:sz w:val="13"/>
          <w:szCs w:val="13"/>
          <w:lang w:eastAsia="ru-RU"/>
        </w:rPr>
        <w:t> ст.314.1 ч.2 УК РФ  с 5 до 6 преступлений, количество преступлений совершенных несовершеннолетними с 17 до 18, количество преступлений совершенных иностранными гражданами с 5 до 10, угроз убийством ст. 119 УК РФ  с 9 до 11, умышленных причинений легкого вреда здоровью по ст.115, 116 УК РФ 4 до 5 преступлений совершенных в состоянии алкогольного опьянения с 53 до 70 преступлений, лицами ранее совершавшими преступления со 91 до 103 преступления, в том числе ранее судимыми с 43 до 62, в группах с 7 до 20 преступлений, количество умышленных причинений средней тяжести вреда здоровью ст.112 УК РФ с 1 до 4 преступления.</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При этом, отмечается снижение грабежей с 3 до 1 преступлений, в том числе квалифицированных с 3 до 1, преступлений по линии НОН с 12 до 8 преступлений, преступлений связанных с нарушением правил дорожного движения лицом, подвергнутым административному наказанию ст.264.1 УК РФ с 17 до 9 преступлений, совершенных  в общественных местах с 40 до 36 преступлений, но на улицах с 28 до 29 увеличилось преступлений, преступлений экономической направленности с  5 до 0, преступлений связанных с фиктивной регистрацией гражданина Российской Федерации по месту пребывания или по месту жительства с до 1 преступления, количество ДТП со смертельным исходом с 1 до 0, преступлений по линии незаконного оборота оружия с 9 до 7 преступлений.</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На территории Пристенского района был зарегистрировано 1 преступление связанное с поджогам.</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Наибольшее количество преступлений зарегистрировано в пос. Пристень и п.Кировский.</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За 12 месяцев 2019 года на территории обслуживания Отд МВД России по Пристенскому району зарегистрировано 8 преступлений в сфере незаконного оборота наркотиков.</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За отчетный период выявлено 8 правонарушений, предусмотренные ст. 6.8, 6.9 КоАП РФ. К административной ответственности привлечено 8 лиц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За 12 месяцев 2019 года на территории обслуживания Отд МВД России по Пристенскому району зарегистрировано 7 преступлений по линии незаконного оборота оружия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В отчетном периоде преступления, связанные с применением огнестрельного оружия не зарегистрированы.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В целях нейтрализации криминогенных процессов в подростковой среде проводились профилактические мероприятия, направленные на выявление подростков, склонных к противоправным действиям, оказании им социально-реабилитационной помощи, а также взрослых лиц, вовлекающих несовершеннолетних  в противоправную деятельность.</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На профилактический учет  ПДН поставлено 23 подростков, 7 родителей,  уклоняющихся от воспитания  и содержания  детей, а также отрицательно влияющих на них.</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На  учёте в ПДН состоит 14 несовершеннолетних ,  В учебных заведениях, расположенных на территории обслуживания,  проведено 42 беседы  по вопросам профилактики безнадзорности и правонарушений несовершеннолетних, в том числе 35 для несовершеннолетних, 3 для родителей.</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Ключевым направлением деятельности ПДН являлось организация работы по предупреждению правонарушений несовершеннолетних, защита их прав, профилактика алкоголизма, наркомании в молодёжной среде, а также работа с родителями, не выполняющими обязанности по воспитанию своих детей, выявлению лиц, вовлекающих несовершеннолетних в преступную деятельность и антиобщественные действия.</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ПДН совместно с представителями органов системы профилактики безнадзорности и правонарушений несовершеннолетних, УУП и ОУР проведено более 50 рейдов в вечернее время в местах массового пребывания молодежи.</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В ходе проводимых мероприятий в отношении несовершеннолетних составлено  10 протоколов об административных правонарушениях .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В ходе проводимых мероприятий выявлено 6 административных правонарушения, предусмотренное ст. 6.10 КоАП РФ (вовлечение несовершеннолетних в распитие спиртных напитков) . В отношении одного лица составлен протокол об административном правонарушении по ст. 6.23 КоАП РФ (вовлечение несовершеннолетних в потребление табака). Выявлено одно правонарушение, предусмотренное ст. 14.16 ч. 2.1 КоАП РФ (продажа алкогольной продукции несовершеннолетним).</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Сотрудниками Отд МВД России по Пристенскому району в 2019 году было выявлено и зарегистрировано всего административных правонарушений (за исключением правонарушений, выявленных в сфере безопасности дорожного движения)- 702.</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По итогам 2019 года в Отд МВД России по Пристенскому району на учете как лица, освобожденные из мест лишения свободы, в отношении которых установлен административный надзор состояло 21 поднадзорное лицо, из них:</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Удельный вес взятых под надзор составляет 39,6%, по области за 12 месяцев 43,9%.</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За 12 месяцев 2019 года в Отд МВД России по Пристенскому району как поднадзорных лиц поставлено на учет 10 лиц.</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За 12 месяцев 2019 года в Отд МВД России по Пристенскому району было выявлено и привлечено к административной ответственности 21 поднадзорное лицо.</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lastRenderedPageBreak/>
        <w:t>Выявлено и задокументировано 154 административных правонарушения, их них было вынесены постановления о привлечении лица к административному наказанию, по ст.19.24 КоАП РФ - 109 правонарушения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За 12 месяцев 2019 год были осуждены и направлены в места лишения свободы 7 лиц;</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в связи с осуждением по ст.314.1 ч.2 УК РФ – 4 поднадзорных лица;</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в связи с осуждением по ст.264.1 УК РФ – 1 поднадзорное лицо.</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Анализируя уличную преступность за 12 месяцев  2019 года на территории обслуживания Отд МВД России по Пристенскому району  следует отметить, что наибольшее количество преступлений совершенных в общественных местах совершено в понедельник, суббота по 6 преступлений, 5 в пятницу.</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По времени совершения преступления наибольшее количество  совершены в период времени с 12 до 18 часов двадцать, четыре преступления с 00.00 часов до 06.00 часов, десять  преступлений совершено с 18-00 часов до 24-00 часов.</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Таким образом, работа направленная на реализацию целей и задач Муниципальной программы Профилактики сотрудниками Отд МВД России по Пристенскому району по подавляющему большинству пунктов достигла своей цели. Вместе с тем, с учетом представленной статистической информации и полученных в ходе анализа выводов о преступлениях, совершаемых в состоянии алкогольного опьянения, на бытовой почве, а также несовершеннолетними, в целях недопущения развития негативных тенденций 2019 года, в том числе в рамках исполнения в 2020 году требований Муниципальной программы «Профилактика правонарушений в Пристенском районе курской области на 2017-2019 годы», необходимо:</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 В целях не допущения роста преступлений совершенных лицами в состоянии алкогольного опьянения, совершаемых в общественных местах (на улицах),  продолжить совместное с ДНД проведение профилактических мероприятий, в том числе в вечернее время, в целях  выявления и пресечения административных правонарушений,  предусмотренных ст. ст. 20.20 – 20.21 КоАП РФ, с последующим направлением для рассмотрения задокументированных материалов в суды.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2) В целях профилактики преступлений совершаемых несовершеннолетними, продолжить мероприятия направленные на выявление и пресечение преступлений превентивной направленности, в том числе в несовершеннолетней среде.</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3) Реализовать предусмотренные Муниципальной программой профилактики правонарушений, задачи и средства на развитие подсистемы АПК «Безопасный город».</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b/>
          <w:bCs/>
          <w:color w:val="000000"/>
          <w:sz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r w:rsidRPr="00230760">
        <w:rPr>
          <w:rFonts w:ascii="Tahoma" w:eastAsia="Times New Roman" w:hAnsi="Tahoma" w:cs="Tahoma"/>
          <w:b/>
          <w:bCs/>
          <w:color w:val="000000"/>
          <w:sz w:val="13"/>
          <w:lang w:eastAsia="ru-RU"/>
        </w:rPr>
        <w:t>Оценка эффективности муниципальной 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Оценка эффективности реализации муниципальной программы выполнена в два этапа. На первом этапе осуществлена оценка эффективности реализации подпрограмм, которая определена с учетом оценки степени достижения целей и решения задач подпрограмм, оценки степени реализации мероприятий, оценки степени соответствия запланированному уровню затрат и оценки эффективности использования средств.</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На втором этапе осуществлена оценка эффективности реализации муниципальной программы, которая определена с учетом оценки степени достижения целей и решения задач муниципальной программы и оценки эффективности реализации подпрограмм.</w:t>
      </w:r>
    </w:p>
    <w:p w:rsidR="00230760" w:rsidRPr="00230760" w:rsidRDefault="00230760" w:rsidP="00230760">
      <w:pPr>
        <w:numPr>
          <w:ilvl w:val="0"/>
          <w:numId w:val="15"/>
        </w:numPr>
        <w:shd w:val="clear" w:color="auto" w:fill="EEEEEE"/>
        <w:spacing w:after="0" w:line="240" w:lineRule="auto"/>
        <w:ind w:left="0"/>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Степень реализации мероприятий оценена для каждой подпрограммы как доля мероприятий, выполненных в полном объеме, по формуле: СР</w:t>
      </w:r>
      <w:r w:rsidRPr="00230760">
        <w:rPr>
          <w:rFonts w:ascii="Tahoma" w:eastAsia="Times New Roman" w:hAnsi="Tahoma" w:cs="Tahoma"/>
          <w:color w:val="000000"/>
          <w:sz w:val="13"/>
          <w:szCs w:val="13"/>
          <w:vertAlign w:val="subscript"/>
          <w:lang w:eastAsia="ru-RU"/>
        </w:rPr>
        <w:t>м=</w:t>
      </w:r>
      <w:r w:rsidRPr="00230760">
        <w:rPr>
          <w:rFonts w:ascii="Tahoma" w:eastAsia="Times New Roman" w:hAnsi="Tahoma" w:cs="Tahoma"/>
          <w:color w:val="000000"/>
          <w:sz w:val="13"/>
          <w:szCs w:val="13"/>
          <w:lang w:eastAsia="ru-RU"/>
        </w:rPr>
        <w:t>М</w:t>
      </w:r>
      <w:r w:rsidRPr="00230760">
        <w:rPr>
          <w:rFonts w:ascii="Tahoma" w:eastAsia="Times New Roman" w:hAnsi="Tahoma" w:cs="Tahoma"/>
          <w:color w:val="000000"/>
          <w:sz w:val="13"/>
          <w:szCs w:val="13"/>
          <w:vertAlign w:val="subscript"/>
          <w:lang w:eastAsia="ru-RU"/>
        </w:rPr>
        <w:t>в</w:t>
      </w:r>
      <w:r w:rsidRPr="00230760">
        <w:rPr>
          <w:rFonts w:ascii="Tahoma" w:eastAsia="Times New Roman" w:hAnsi="Tahoma" w:cs="Tahoma"/>
          <w:color w:val="000000"/>
          <w:sz w:val="13"/>
          <w:szCs w:val="13"/>
          <w:lang w:eastAsia="ru-RU"/>
        </w:rPr>
        <w:t>/М  где: СР</w:t>
      </w:r>
      <w:r w:rsidRPr="00230760">
        <w:rPr>
          <w:rFonts w:ascii="Tahoma" w:eastAsia="Times New Roman" w:hAnsi="Tahoma" w:cs="Tahoma"/>
          <w:color w:val="000000"/>
          <w:sz w:val="13"/>
          <w:szCs w:val="13"/>
          <w:vertAlign w:val="subscript"/>
          <w:lang w:eastAsia="ru-RU"/>
        </w:rPr>
        <w:t>м</w:t>
      </w:r>
      <w:r w:rsidRPr="00230760">
        <w:rPr>
          <w:rFonts w:ascii="Tahoma" w:eastAsia="Times New Roman" w:hAnsi="Tahoma" w:cs="Tahoma"/>
          <w:color w:val="000000"/>
          <w:sz w:val="13"/>
          <w:szCs w:val="13"/>
          <w:lang w:eastAsia="ru-RU"/>
        </w:rPr>
        <w:t> – степень реализации мероприятий; М</w:t>
      </w:r>
      <w:r w:rsidRPr="00230760">
        <w:rPr>
          <w:rFonts w:ascii="Tahoma" w:eastAsia="Times New Roman" w:hAnsi="Tahoma" w:cs="Tahoma"/>
          <w:color w:val="000000"/>
          <w:sz w:val="13"/>
          <w:szCs w:val="13"/>
          <w:vertAlign w:val="subscript"/>
          <w:lang w:eastAsia="ru-RU"/>
        </w:rPr>
        <w:t>в</w:t>
      </w:r>
      <w:r w:rsidRPr="00230760">
        <w:rPr>
          <w:rFonts w:ascii="Tahoma" w:eastAsia="Times New Roman" w:hAnsi="Tahoma" w:cs="Tahoma"/>
          <w:color w:val="000000"/>
          <w:sz w:val="13"/>
          <w:szCs w:val="13"/>
          <w:lang w:eastAsia="ru-RU"/>
        </w:rPr>
        <w:t> – количество мероприятий выполненных в полном объеме, из числа мероприятий, запланированных к реализации в отчетном году; М – общее количество мероприятий запланированных к реализации в отчетном году.</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СР</w:t>
      </w:r>
      <w:r w:rsidRPr="00230760">
        <w:rPr>
          <w:rFonts w:ascii="Tahoma" w:eastAsia="Times New Roman" w:hAnsi="Tahoma" w:cs="Tahoma"/>
          <w:color w:val="000000"/>
          <w:sz w:val="13"/>
          <w:szCs w:val="13"/>
          <w:vertAlign w:val="subscript"/>
          <w:lang w:eastAsia="ru-RU"/>
        </w:rPr>
        <w:t>м </w:t>
      </w:r>
      <w:r w:rsidRPr="00230760">
        <w:rPr>
          <w:rFonts w:ascii="Tahoma" w:eastAsia="Times New Roman" w:hAnsi="Tahoma" w:cs="Tahoma"/>
          <w:color w:val="000000"/>
          <w:sz w:val="13"/>
          <w:szCs w:val="13"/>
          <w:lang w:eastAsia="ru-RU"/>
        </w:rPr>
        <w:t>1</w:t>
      </w:r>
      <w:r w:rsidRPr="00230760">
        <w:rPr>
          <w:rFonts w:ascii="Tahoma" w:eastAsia="Times New Roman" w:hAnsi="Tahoma" w:cs="Tahoma"/>
          <w:color w:val="000000"/>
          <w:sz w:val="13"/>
          <w:szCs w:val="13"/>
          <w:vertAlign w:val="subscript"/>
          <w:lang w:eastAsia="ru-RU"/>
        </w:rPr>
        <w:t>пп</w:t>
      </w:r>
      <w:r w:rsidRPr="00230760">
        <w:rPr>
          <w:rFonts w:ascii="Tahoma" w:eastAsia="Times New Roman" w:hAnsi="Tahoma" w:cs="Tahoma"/>
          <w:color w:val="000000"/>
          <w:sz w:val="13"/>
          <w:szCs w:val="13"/>
          <w:lang w:eastAsia="ru-RU"/>
        </w:rPr>
        <w:t>=1/1=1;   СР</w:t>
      </w:r>
      <w:r w:rsidRPr="00230760">
        <w:rPr>
          <w:rFonts w:ascii="Tahoma" w:eastAsia="Times New Roman" w:hAnsi="Tahoma" w:cs="Tahoma"/>
          <w:color w:val="000000"/>
          <w:sz w:val="13"/>
          <w:szCs w:val="13"/>
          <w:vertAlign w:val="subscript"/>
          <w:lang w:eastAsia="ru-RU"/>
        </w:rPr>
        <w:t>м </w:t>
      </w:r>
      <w:r w:rsidRPr="00230760">
        <w:rPr>
          <w:rFonts w:ascii="Tahoma" w:eastAsia="Times New Roman" w:hAnsi="Tahoma" w:cs="Tahoma"/>
          <w:color w:val="000000"/>
          <w:sz w:val="13"/>
          <w:szCs w:val="13"/>
          <w:lang w:eastAsia="ru-RU"/>
        </w:rPr>
        <w:t>2</w:t>
      </w:r>
      <w:r w:rsidRPr="00230760">
        <w:rPr>
          <w:rFonts w:ascii="Tahoma" w:eastAsia="Times New Roman" w:hAnsi="Tahoma" w:cs="Tahoma"/>
          <w:color w:val="000000"/>
          <w:sz w:val="13"/>
          <w:szCs w:val="13"/>
          <w:vertAlign w:val="subscript"/>
          <w:lang w:eastAsia="ru-RU"/>
        </w:rPr>
        <w:t>пп</w:t>
      </w:r>
      <w:r w:rsidRPr="00230760">
        <w:rPr>
          <w:rFonts w:ascii="Tahoma" w:eastAsia="Times New Roman" w:hAnsi="Tahoma" w:cs="Tahoma"/>
          <w:color w:val="000000"/>
          <w:sz w:val="13"/>
          <w:szCs w:val="13"/>
          <w:lang w:eastAsia="ru-RU"/>
        </w:rPr>
        <w:t>=88/93=0,94.</w:t>
      </w:r>
    </w:p>
    <w:p w:rsidR="00230760" w:rsidRPr="00230760" w:rsidRDefault="00230760" w:rsidP="00230760">
      <w:pPr>
        <w:numPr>
          <w:ilvl w:val="0"/>
          <w:numId w:val="16"/>
        </w:numPr>
        <w:shd w:val="clear" w:color="auto" w:fill="EEEEEE"/>
        <w:spacing w:after="0" w:line="240" w:lineRule="auto"/>
        <w:ind w:left="0"/>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Степень соответствия запланированному уровню затрат оценена для каждой подпрограммы как отношение фактически произведенных в отчетном году расходов на реализацию подпрограмм к их плановым значениям.</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СС</w:t>
      </w:r>
      <w:r w:rsidRPr="00230760">
        <w:rPr>
          <w:rFonts w:ascii="Tahoma" w:eastAsia="Times New Roman" w:hAnsi="Tahoma" w:cs="Tahoma"/>
          <w:color w:val="000000"/>
          <w:sz w:val="13"/>
          <w:szCs w:val="13"/>
          <w:vertAlign w:val="subscript"/>
          <w:lang w:eastAsia="ru-RU"/>
        </w:rPr>
        <w:t>уз</w:t>
      </w:r>
      <w:r w:rsidRPr="00230760">
        <w:rPr>
          <w:rFonts w:ascii="Tahoma" w:eastAsia="Times New Roman" w:hAnsi="Tahoma" w:cs="Tahoma"/>
          <w:color w:val="000000"/>
          <w:sz w:val="13"/>
          <w:szCs w:val="13"/>
          <w:lang w:eastAsia="ru-RU"/>
        </w:rPr>
        <w:t>=З</w:t>
      </w:r>
      <w:r w:rsidRPr="00230760">
        <w:rPr>
          <w:rFonts w:ascii="Tahoma" w:eastAsia="Times New Roman" w:hAnsi="Tahoma" w:cs="Tahoma"/>
          <w:color w:val="000000"/>
          <w:sz w:val="13"/>
          <w:szCs w:val="13"/>
          <w:vertAlign w:val="subscript"/>
          <w:lang w:eastAsia="ru-RU"/>
        </w:rPr>
        <w:t>ф</w:t>
      </w:r>
      <w:r w:rsidRPr="00230760">
        <w:rPr>
          <w:rFonts w:ascii="Tahoma" w:eastAsia="Times New Roman" w:hAnsi="Tahoma" w:cs="Tahoma"/>
          <w:color w:val="000000"/>
          <w:sz w:val="13"/>
          <w:szCs w:val="13"/>
          <w:lang w:eastAsia="ru-RU"/>
        </w:rPr>
        <w:t>/З</w:t>
      </w:r>
      <w:r w:rsidRPr="00230760">
        <w:rPr>
          <w:rFonts w:ascii="Tahoma" w:eastAsia="Times New Roman" w:hAnsi="Tahoma" w:cs="Tahoma"/>
          <w:color w:val="000000"/>
          <w:sz w:val="13"/>
          <w:szCs w:val="13"/>
          <w:vertAlign w:val="subscript"/>
          <w:lang w:eastAsia="ru-RU"/>
        </w:rPr>
        <w:t>п  </w:t>
      </w:r>
      <w:r w:rsidRPr="00230760">
        <w:rPr>
          <w:rFonts w:ascii="Tahoma" w:eastAsia="Times New Roman" w:hAnsi="Tahoma" w:cs="Tahoma"/>
          <w:color w:val="000000"/>
          <w:sz w:val="13"/>
          <w:szCs w:val="13"/>
          <w:lang w:eastAsia="ru-RU"/>
        </w:rPr>
        <w:t> где СС</w:t>
      </w:r>
      <w:r w:rsidRPr="00230760">
        <w:rPr>
          <w:rFonts w:ascii="Tahoma" w:eastAsia="Times New Roman" w:hAnsi="Tahoma" w:cs="Tahoma"/>
          <w:color w:val="000000"/>
          <w:sz w:val="13"/>
          <w:szCs w:val="13"/>
          <w:vertAlign w:val="subscript"/>
          <w:lang w:eastAsia="ru-RU"/>
        </w:rPr>
        <w:t>уз</w:t>
      </w:r>
      <w:r w:rsidRPr="00230760">
        <w:rPr>
          <w:rFonts w:ascii="Tahoma" w:eastAsia="Times New Roman" w:hAnsi="Tahoma" w:cs="Tahoma"/>
          <w:color w:val="000000"/>
          <w:sz w:val="13"/>
          <w:szCs w:val="13"/>
          <w:lang w:eastAsia="ru-RU"/>
        </w:rPr>
        <w:t> – степень запланированному уровню расходов;                      З</w:t>
      </w:r>
      <w:r w:rsidRPr="00230760">
        <w:rPr>
          <w:rFonts w:ascii="Tahoma" w:eastAsia="Times New Roman" w:hAnsi="Tahoma" w:cs="Tahoma"/>
          <w:color w:val="000000"/>
          <w:sz w:val="13"/>
          <w:szCs w:val="13"/>
          <w:vertAlign w:val="subscript"/>
          <w:lang w:eastAsia="ru-RU"/>
        </w:rPr>
        <w:t>ф</w:t>
      </w:r>
      <w:r w:rsidRPr="00230760">
        <w:rPr>
          <w:rFonts w:ascii="Tahoma" w:eastAsia="Times New Roman" w:hAnsi="Tahoma" w:cs="Tahoma"/>
          <w:color w:val="000000"/>
          <w:sz w:val="13"/>
          <w:szCs w:val="13"/>
          <w:lang w:eastAsia="ru-RU"/>
        </w:rPr>
        <w:t> – фактические расходы на реализацию подпрограммы в отчетном году;            З</w:t>
      </w:r>
      <w:r w:rsidRPr="00230760">
        <w:rPr>
          <w:rFonts w:ascii="Tahoma" w:eastAsia="Times New Roman" w:hAnsi="Tahoma" w:cs="Tahoma"/>
          <w:color w:val="000000"/>
          <w:sz w:val="13"/>
          <w:szCs w:val="13"/>
          <w:vertAlign w:val="subscript"/>
          <w:lang w:eastAsia="ru-RU"/>
        </w:rPr>
        <w:t>п</w:t>
      </w:r>
      <w:r w:rsidRPr="00230760">
        <w:rPr>
          <w:rFonts w:ascii="Tahoma" w:eastAsia="Times New Roman" w:hAnsi="Tahoma" w:cs="Tahoma"/>
          <w:color w:val="000000"/>
          <w:sz w:val="13"/>
          <w:szCs w:val="13"/>
          <w:lang w:eastAsia="ru-RU"/>
        </w:rPr>
        <w:t> – плановые расходы на реализацию подпрограммы в отчетном году.</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Степень соответствия запланированному уровню затрат по каждой подпрограмме определена на основании данных, приведенных в таблице 1 и отражена в таблице 3.</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Степень соответствия запланированному уровню затрат                                          по каждой подпрограмме.</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Таблица 3.</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24"/>
        <w:gridCol w:w="3240"/>
        <w:gridCol w:w="1140"/>
        <w:gridCol w:w="1020"/>
        <w:gridCol w:w="1332"/>
      </w:tblGrid>
      <w:tr w:rsidR="00230760" w:rsidRPr="00230760" w:rsidTr="00230760">
        <w:trPr>
          <w:tblCellSpacing w:w="0" w:type="dxa"/>
        </w:trPr>
        <w:tc>
          <w:tcPr>
            <w:tcW w:w="15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Статус</w:t>
            </w:r>
          </w:p>
        </w:tc>
        <w:tc>
          <w:tcPr>
            <w:tcW w:w="32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Наименование муниципальной программы. подпрограммы</w:t>
            </w:r>
          </w:p>
        </w:tc>
        <w:tc>
          <w:tcPr>
            <w:tcW w:w="216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Расходы на реализацию подпрограмм (тыс.руб.)</w:t>
            </w:r>
          </w:p>
        </w:tc>
        <w:tc>
          <w:tcPr>
            <w:tcW w:w="1332"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Степень соответствия запланированному уровню расходов, СС</w:t>
            </w:r>
            <w:r w:rsidRPr="00230760">
              <w:rPr>
                <w:rFonts w:ascii="Tahoma" w:eastAsia="Times New Roman" w:hAnsi="Tahoma" w:cs="Tahoma"/>
                <w:color w:val="000000"/>
                <w:sz w:val="13"/>
                <w:szCs w:val="13"/>
                <w:vertAlign w:val="subscript"/>
                <w:lang w:eastAsia="ru-RU"/>
              </w:rPr>
              <w:t>уз</w:t>
            </w:r>
          </w:p>
        </w:tc>
      </w:tr>
      <w:tr w:rsidR="00230760" w:rsidRPr="00230760" w:rsidTr="00230760">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30760" w:rsidRPr="00230760" w:rsidRDefault="00230760" w:rsidP="00230760">
            <w:pPr>
              <w:spacing w:after="0" w:line="240" w:lineRule="auto"/>
              <w:rPr>
                <w:rFonts w:ascii="Tahoma" w:eastAsia="Times New Roman" w:hAnsi="Tahoma" w:cs="Tahoma"/>
                <w:color w:val="000000"/>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30760" w:rsidRPr="00230760" w:rsidRDefault="00230760" w:rsidP="00230760">
            <w:pPr>
              <w:spacing w:after="0" w:line="240" w:lineRule="auto"/>
              <w:rPr>
                <w:rFonts w:ascii="Tahoma" w:eastAsia="Times New Roman" w:hAnsi="Tahoma" w:cs="Tahoma"/>
                <w:color w:val="000000"/>
                <w:sz w:val="13"/>
                <w:szCs w:val="13"/>
                <w:lang w:eastAsia="ru-RU"/>
              </w:rPr>
            </w:pP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План 2019 г. З</w:t>
            </w:r>
            <w:r w:rsidRPr="00230760">
              <w:rPr>
                <w:rFonts w:ascii="Tahoma" w:eastAsia="Times New Roman" w:hAnsi="Tahoma" w:cs="Tahoma"/>
                <w:color w:val="000000"/>
                <w:sz w:val="13"/>
                <w:szCs w:val="13"/>
                <w:vertAlign w:val="subscript"/>
                <w:lang w:eastAsia="ru-RU"/>
              </w:rPr>
              <w:t>п</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Факт,      З</w:t>
            </w:r>
            <w:r w:rsidRPr="00230760">
              <w:rPr>
                <w:rFonts w:ascii="Tahoma" w:eastAsia="Times New Roman" w:hAnsi="Tahoma" w:cs="Tahoma"/>
                <w:color w:val="000000"/>
                <w:sz w:val="13"/>
                <w:szCs w:val="13"/>
                <w:vertAlign w:val="subscript"/>
                <w:lang w:eastAsia="ru-RU"/>
              </w:rPr>
              <w:t>ф</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30760" w:rsidRPr="00230760" w:rsidRDefault="00230760" w:rsidP="00230760">
            <w:pPr>
              <w:spacing w:after="0" w:line="240" w:lineRule="auto"/>
              <w:rPr>
                <w:rFonts w:ascii="Tahoma" w:eastAsia="Times New Roman" w:hAnsi="Tahoma" w:cs="Tahoma"/>
                <w:color w:val="000000"/>
                <w:sz w:val="13"/>
                <w:szCs w:val="13"/>
                <w:lang w:eastAsia="ru-RU"/>
              </w:rPr>
            </w:pPr>
          </w:p>
        </w:tc>
      </w:tr>
      <w:tr w:rsidR="00230760" w:rsidRPr="00230760" w:rsidTr="00230760">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Муниципальная программа</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«Профилактика правонарушений в Пристенском районе Курской области на      2017 – 2019 годы</w:t>
            </w:r>
            <w:r w:rsidRPr="00230760">
              <w:rPr>
                <w:rFonts w:ascii="Tahoma" w:eastAsia="Times New Roman" w:hAnsi="Tahoma" w:cs="Tahoma"/>
                <w:b/>
                <w:bCs/>
                <w:color w:val="000000"/>
                <w:sz w:val="13"/>
                <w:lang w:eastAsia="ru-RU"/>
              </w:rPr>
              <w:t>» </w:t>
            </w:r>
            <w:r w:rsidRPr="00230760">
              <w:rPr>
                <w:rFonts w:ascii="Tahoma" w:eastAsia="Times New Roman" w:hAnsi="Tahoma" w:cs="Tahoma"/>
                <w:color w:val="000000"/>
                <w:sz w:val="13"/>
                <w:szCs w:val="13"/>
                <w:lang w:eastAsia="ru-RU"/>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429,780</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427,482</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0,99</w:t>
            </w:r>
          </w:p>
        </w:tc>
      </w:tr>
      <w:tr w:rsidR="00230760" w:rsidRPr="00230760" w:rsidTr="00230760">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Подпрограмма 1</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i/>
                <w:iCs/>
                <w:color w:val="000000"/>
                <w:sz w:val="13"/>
                <w:lang w:eastAsia="ru-RU"/>
              </w:rPr>
              <w:t>Управление муниципальной программой и обеспечение условий реализации»</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296,000</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296,000</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1,0</w:t>
            </w:r>
          </w:p>
        </w:tc>
      </w:tr>
      <w:tr w:rsidR="00230760" w:rsidRPr="00230760" w:rsidTr="00230760">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Подпрограмма 2</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i/>
                <w:iCs/>
                <w:color w:val="000000"/>
                <w:sz w:val="13"/>
                <w:lang w:eastAsia="ru-RU"/>
              </w:rPr>
              <w:t>« Обеспечение правопорядка на территории муниципального образования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133,780</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131,482</w:t>
            </w:r>
          </w:p>
        </w:tc>
        <w:tc>
          <w:tcPr>
            <w:tcW w:w="13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0,98</w:t>
            </w:r>
          </w:p>
        </w:tc>
      </w:tr>
    </w:tbl>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numPr>
          <w:ilvl w:val="0"/>
          <w:numId w:val="17"/>
        </w:numPr>
        <w:shd w:val="clear" w:color="auto" w:fill="EEEEEE"/>
        <w:spacing w:after="0" w:line="240" w:lineRule="auto"/>
        <w:ind w:left="0"/>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Эффективность использования средств бюджета                              муниципального района «Пристенский район» Курской области рассчитана для каждой подпрограммы как отношение степени реализации мероприятий к степени соответствия запланированному уровню расходов из средств бюджета муниципального бюджета по формуле: Э</w:t>
      </w:r>
      <w:r w:rsidRPr="00230760">
        <w:rPr>
          <w:rFonts w:ascii="Tahoma" w:eastAsia="Times New Roman" w:hAnsi="Tahoma" w:cs="Tahoma"/>
          <w:color w:val="000000"/>
          <w:sz w:val="13"/>
          <w:szCs w:val="13"/>
          <w:vertAlign w:val="subscript"/>
          <w:lang w:eastAsia="ru-RU"/>
        </w:rPr>
        <w:t>ис</w:t>
      </w:r>
      <w:r w:rsidRPr="00230760">
        <w:rPr>
          <w:rFonts w:ascii="Tahoma" w:eastAsia="Times New Roman" w:hAnsi="Tahoma" w:cs="Tahoma"/>
          <w:color w:val="000000"/>
          <w:sz w:val="13"/>
          <w:szCs w:val="13"/>
          <w:lang w:eastAsia="ru-RU"/>
        </w:rPr>
        <w:t>=СР</w:t>
      </w:r>
      <w:r w:rsidRPr="00230760">
        <w:rPr>
          <w:rFonts w:ascii="Tahoma" w:eastAsia="Times New Roman" w:hAnsi="Tahoma" w:cs="Tahoma"/>
          <w:color w:val="000000"/>
          <w:sz w:val="13"/>
          <w:szCs w:val="13"/>
          <w:vertAlign w:val="subscript"/>
          <w:lang w:eastAsia="ru-RU"/>
        </w:rPr>
        <w:t>м</w:t>
      </w:r>
      <w:r w:rsidRPr="00230760">
        <w:rPr>
          <w:rFonts w:ascii="Tahoma" w:eastAsia="Times New Roman" w:hAnsi="Tahoma" w:cs="Tahoma"/>
          <w:color w:val="000000"/>
          <w:sz w:val="13"/>
          <w:szCs w:val="13"/>
          <w:lang w:eastAsia="ru-RU"/>
        </w:rPr>
        <w:t>/</w:t>
      </w:r>
      <w:r w:rsidRPr="00230760">
        <w:rPr>
          <w:rFonts w:ascii="Tahoma" w:eastAsia="Times New Roman" w:hAnsi="Tahoma" w:cs="Tahoma"/>
          <w:color w:val="000000"/>
          <w:sz w:val="13"/>
          <w:szCs w:val="13"/>
          <w:vertAlign w:val="subscript"/>
          <w:lang w:eastAsia="ru-RU"/>
        </w:rPr>
        <w:t>  </w:t>
      </w:r>
      <w:r w:rsidRPr="00230760">
        <w:rPr>
          <w:rFonts w:ascii="Tahoma" w:eastAsia="Times New Roman" w:hAnsi="Tahoma" w:cs="Tahoma"/>
          <w:color w:val="000000"/>
          <w:sz w:val="13"/>
          <w:szCs w:val="13"/>
          <w:lang w:eastAsia="ru-RU"/>
        </w:rPr>
        <w:t>СС</w:t>
      </w:r>
      <w:r w:rsidRPr="00230760">
        <w:rPr>
          <w:rFonts w:ascii="Tahoma" w:eastAsia="Times New Roman" w:hAnsi="Tahoma" w:cs="Tahoma"/>
          <w:color w:val="000000"/>
          <w:sz w:val="13"/>
          <w:szCs w:val="13"/>
          <w:vertAlign w:val="subscript"/>
          <w:lang w:eastAsia="ru-RU"/>
        </w:rPr>
        <w:t>уз</w:t>
      </w:r>
      <w:r w:rsidRPr="00230760">
        <w:rPr>
          <w:rFonts w:ascii="Tahoma" w:eastAsia="Times New Roman" w:hAnsi="Tahoma" w:cs="Tahoma"/>
          <w:color w:val="000000"/>
          <w:sz w:val="13"/>
          <w:szCs w:val="13"/>
          <w:lang w:eastAsia="ru-RU"/>
        </w:rPr>
        <w:t>,</w:t>
      </w:r>
      <w:r w:rsidRPr="00230760">
        <w:rPr>
          <w:rFonts w:ascii="Tahoma" w:eastAsia="Times New Roman" w:hAnsi="Tahoma" w:cs="Tahoma"/>
          <w:color w:val="000000"/>
          <w:sz w:val="13"/>
          <w:szCs w:val="13"/>
          <w:vertAlign w:val="subscript"/>
          <w:lang w:eastAsia="ru-RU"/>
        </w:rPr>
        <w:t>  </w:t>
      </w:r>
      <w:r w:rsidRPr="00230760">
        <w:rPr>
          <w:rFonts w:ascii="Tahoma" w:eastAsia="Times New Roman" w:hAnsi="Tahoma" w:cs="Tahoma"/>
          <w:color w:val="000000"/>
          <w:sz w:val="13"/>
          <w:szCs w:val="13"/>
          <w:lang w:eastAsia="ru-RU"/>
        </w:rPr>
        <w:t>где Э</w:t>
      </w:r>
      <w:r w:rsidRPr="00230760">
        <w:rPr>
          <w:rFonts w:ascii="Tahoma" w:eastAsia="Times New Roman" w:hAnsi="Tahoma" w:cs="Tahoma"/>
          <w:color w:val="000000"/>
          <w:sz w:val="13"/>
          <w:szCs w:val="13"/>
          <w:vertAlign w:val="subscript"/>
          <w:lang w:eastAsia="ru-RU"/>
        </w:rPr>
        <w:t>ис </w:t>
      </w:r>
      <w:r w:rsidRPr="00230760">
        <w:rPr>
          <w:rFonts w:ascii="Tahoma" w:eastAsia="Times New Roman" w:hAnsi="Tahoma" w:cs="Tahoma"/>
          <w:color w:val="000000"/>
          <w:sz w:val="13"/>
          <w:szCs w:val="13"/>
          <w:lang w:eastAsia="ru-RU"/>
        </w:rPr>
        <w:t> - эффективность использования средств бюджета муниципального района; СР</w:t>
      </w:r>
      <w:r w:rsidRPr="00230760">
        <w:rPr>
          <w:rFonts w:ascii="Tahoma" w:eastAsia="Times New Roman" w:hAnsi="Tahoma" w:cs="Tahoma"/>
          <w:color w:val="000000"/>
          <w:sz w:val="13"/>
          <w:szCs w:val="13"/>
          <w:vertAlign w:val="subscript"/>
          <w:lang w:eastAsia="ru-RU"/>
        </w:rPr>
        <w:t>м</w:t>
      </w:r>
      <w:r w:rsidRPr="00230760">
        <w:rPr>
          <w:rFonts w:ascii="Tahoma" w:eastAsia="Times New Roman" w:hAnsi="Tahoma" w:cs="Tahoma"/>
          <w:color w:val="000000"/>
          <w:sz w:val="13"/>
          <w:szCs w:val="13"/>
          <w:lang w:eastAsia="ru-RU"/>
        </w:rPr>
        <w:t> – степень реализации мероприятий финансируемых из средств бюджета муниципального района; СС</w:t>
      </w:r>
      <w:r w:rsidRPr="00230760">
        <w:rPr>
          <w:rFonts w:ascii="Tahoma" w:eastAsia="Times New Roman" w:hAnsi="Tahoma" w:cs="Tahoma"/>
          <w:color w:val="000000"/>
          <w:sz w:val="13"/>
          <w:szCs w:val="13"/>
          <w:vertAlign w:val="subscript"/>
          <w:lang w:eastAsia="ru-RU"/>
        </w:rPr>
        <w:t>уз</w:t>
      </w:r>
      <w:r w:rsidRPr="00230760">
        <w:rPr>
          <w:rFonts w:ascii="Tahoma" w:eastAsia="Times New Roman" w:hAnsi="Tahoma" w:cs="Tahoma"/>
          <w:color w:val="000000"/>
          <w:sz w:val="13"/>
          <w:szCs w:val="13"/>
          <w:lang w:eastAsia="ru-RU"/>
        </w:rPr>
        <w:t> – степень соответствия запланированному уровню расходов из средств бюджета муниципального района.</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Эффективность использования средств бюджета муниципального района  по каждой подпрограмме отражена в таблице 4.</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Таблица 4.</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1524"/>
        <w:gridCol w:w="3240"/>
        <w:gridCol w:w="1176"/>
        <w:gridCol w:w="149"/>
        <w:gridCol w:w="1656"/>
        <w:gridCol w:w="1116"/>
      </w:tblGrid>
      <w:tr w:rsidR="00230760" w:rsidRPr="00230760" w:rsidTr="00230760">
        <w:trPr>
          <w:tblCellSpacing w:w="0" w:type="dxa"/>
        </w:trPr>
        <w:tc>
          <w:tcPr>
            <w:tcW w:w="152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Статус</w:t>
            </w:r>
          </w:p>
        </w:tc>
        <w:tc>
          <w:tcPr>
            <w:tcW w:w="3240"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Наименование муниципальной программы. подпрограммы</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Степень реализации мероприятий, СР</w:t>
            </w:r>
            <w:r w:rsidRPr="00230760">
              <w:rPr>
                <w:rFonts w:ascii="Tahoma" w:eastAsia="Times New Roman" w:hAnsi="Tahoma" w:cs="Tahoma"/>
                <w:color w:val="000000"/>
                <w:sz w:val="13"/>
                <w:szCs w:val="13"/>
                <w:vertAlign w:val="subscript"/>
                <w:lang w:eastAsia="ru-RU"/>
              </w:rPr>
              <w:t>м</w:t>
            </w:r>
          </w:p>
        </w:tc>
        <w:tc>
          <w:tcPr>
            <w:tcW w:w="1248"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Степень соответствия запланированному уровню расходов,  СС</w:t>
            </w:r>
            <w:r w:rsidRPr="00230760">
              <w:rPr>
                <w:rFonts w:ascii="Tahoma" w:eastAsia="Times New Roman" w:hAnsi="Tahoma" w:cs="Tahoma"/>
                <w:color w:val="000000"/>
                <w:sz w:val="13"/>
                <w:szCs w:val="13"/>
                <w:vertAlign w:val="subscript"/>
                <w:lang w:eastAsia="ru-RU"/>
              </w:rPr>
              <w:t>уз</w:t>
            </w:r>
          </w:p>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10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Эффектив-ность использова-ния средств Э</w:t>
            </w:r>
            <w:r w:rsidRPr="00230760">
              <w:rPr>
                <w:rFonts w:ascii="Tahoma" w:eastAsia="Times New Roman" w:hAnsi="Tahoma" w:cs="Tahoma"/>
                <w:color w:val="000000"/>
                <w:sz w:val="13"/>
                <w:szCs w:val="13"/>
                <w:vertAlign w:val="subscript"/>
                <w:lang w:eastAsia="ru-RU"/>
              </w:rPr>
              <w:t>ис</w:t>
            </w:r>
          </w:p>
        </w:tc>
      </w:tr>
      <w:tr w:rsidR="00230760" w:rsidRPr="00230760" w:rsidTr="00230760">
        <w:trPr>
          <w:tblCellSpacing w:w="0" w:type="dxa"/>
        </w:trPr>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30760" w:rsidRPr="00230760" w:rsidRDefault="00230760" w:rsidP="00230760">
            <w:pPr>
              <w:spacing w:after="0" w:line="240" w:lineRule="auto"/>
              <w:rPr>
                <w:rFonts w:ascii="Tahoma" w:eastAsia="Times New Roman" w:hAnsi="Tahoma" w:cs="Tahoma"/>
                <w:color w:val="000000"/>
                <w:sz w:val="13"/>
                <w:szCs w:val="13"/>
                <w:lang w:eastAsia="ru-RU"/>
              </w:rPr>
            </w:pP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30760" w:rsidRPr="00230760" w:rsidRDefault="00230760" w:rsidP="00230760">
            <w:pPr>
              <w:spacing w:after="0" w:line="240" w:lineRule="auto"/>
              <w:rPr>
                <w:rFonts w:ascii="Tahoma" w:eastAsia="Times New Roman" w:hAnsi="Tahoma" w:cs="Tahoma"/>
                <w:color w:val="000000"/>
                <w:sz w:val="13"/>
                <w:szCs w:val="13"/>
                <w:lang w:eastAsia="ru-RU"/>
              </w:rPr>
            </w:pP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230760" w:rsidRPr="00230760" w:rsidRDefault="00230760" w:rsidP="00230760">
            <w:pPr>
              <w:spacing w:after="0" w:line="240" w:lineRule="auto"/>
              <w:rPr>
                <w:rFonts w:ascii="Tahoma" w:eastAsia="Times New Roman" w:hAnsi="Tahoma" w:cs="Tahoma"/>
                <w:color w:val="000000"/>
                <w:sz w:val="13"/>
                <w:szCs w:val="13"/>
                <w:lang w:eastAsia="ru-RU"/>
              </w:rPr>
            </w:pPr>
          </w:p>
        </w:tc>
      </w:tr>
      <w:tr w:rsidR="00230760" w:rsidRPr="00230760" w:rsidTr="00230760">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Муниципальная программа</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«Профилактика правонарушений в Пристенском районе Курской области на      2017 – 2019 годы</w:t>
            </w:r>
            <w:r w:rsidRPr="00230760">
              <w:rPr>
                <w:rFonts w:ascii="Tahoma" w:eastAsia="Times New Roman" w:hAnsi="Tahoma" w:cs="Tahoma"/>
                <w:b/>
                <w:bCs/>
                <w:color w:val="000000"/>
                <w:sz w:val="13"/>
                <w:lang w:eastAsia="ru-RU"/>
              </w:rPr>
              <w:t>» </w:t>
            </w:r>
            <w:r w:rsidRPr="00230760">
              <w:rPr>
                <w:rFonts w:ascii="Tahoma" w:eastAsia="Times New Roman" w:hAnsi="Tahoma" w:cs="Tahoma"/>
                <w:color w:val="000000"/>
                <w:sz w:val="13"/>
                <w:szCs w:val="13"/>
                <w:lang w:eastAsia="ru-RU"/>
              </w:rPr>
              <w:t>      </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0,97</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0,99</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0,98</w:t>
            </w:r>
          </w:p>
        </w:tc>
      </w:tr>
      <w:tr w:rsidR="00230760" w:rsidRPr="00230760" w:rsidTr="00230760">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Подпрограмма 1</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i/>
                <w:iCs/>
                <w:color w:val="000000"/>
                <w:sz w:val="13"/>
                <w:lang w:eastAsia="ru-RU"/>
              </w:rPr>
              <w:t>«Управление муниципальной программой и обеспечение условий реализации»</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1,0</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1,0</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1,0</w:t>
            </w:r>
          </w:p>
        </w:tc>
      </w:tr>
      <w:tr w:rsidR="00230760" w:rsidRPr="00230760" w:rsidTr="00230760">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Подпрограмма 2</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i/>
                <w:iCs/>
                <w:color w:val="000000"/>
                <w:sz w:val="13"/>
                <w:lang w:eastAsia="ru-RU"/>
              </w:rPr>
              <w:t>«Обеспечение правопорядка на территории муниципального образования»</w:t>
            </w:r>
          </w:p>
        </w:tc>
        <w:tc>
          <w:tcPr>
            <w:tcW w:w="1140"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0,94</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0,98</w:t>
            </w:r>
          </w:p>
        </w:tc>
        <w:tc>
          <w:tcPr>
            <w:tcW w:w="11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230760" w:rsidRPr="00230760" w:rsidRDefault="00230760" w:rsidP="00230760">
            <w:pPr>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0,96</w:t>
            </w:r>
          </w:p>
        </w:tc>
      </w:tr>
      <w:tr w:rsidR="00230760" w:rsidRPr="00230760" w:rsidTr="00230760">
        <w:trPr>
          <w:tblCellSpacing w:w="0" w:type="dxa"/>
        </w:trPr>
        <w:tc>
          <w:tcPr>
            <w:tcW w:w="152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230760" w:rsidRPr="00230760" w:rsidRDefault="00230760" w:rsidP="00230760">
            <w:pPr>
              <w:spacing w:after="0" w:line="0" w:lineRule="atLeast"/>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32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230760" w:rsidRPr="00230760" w:rsidRDefault="00230760" w:rsidP="00230760">
            <w:pPr>
              <w:spacing w:after="0" w:line="0" w:lineRule="atLeast"/>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230760" w:rsidRPr="00230760" w:rsidRDefault="00230760" w:rsidP="00230760">
            <w:pPr>
              <w:spacing w:after="0" w:line="0" w:lineRule="atLeast"/>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230760" w:rsidRPr="00230760" w:rsidRDefault="00230760" w:rsidP="00230760">
            <w:pPr>
              <w:spacing w:after="0" w:line="0" w:lineRule="atLeast"/>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230760" w:rsidRPr="00230760" w:rsidRDefault="00230760" w:rsidP="00230760">
            <w:pPr>
              <w:spacing w:after="0" w:line="0" w:lineRule="atLeast"/>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c>
          <w:tcPr>
            <w:tcW w:w="11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230760" w:rsidRPr="00230760" w:rsidRDefault="00230760" w:rsidP="00230760">
            <w:pPr>
              <w:spacing w:after="0" w:line="0" w:lineRule="atLeast"/>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tc>
      </w:tr>
    </w:tbl>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numPr>
          <w:ilvl w:val="0"/>
          <w:numId w:val="18"/>
        </w:numPr>
        <w:shd w:val="clear" w:color="auto" w:fill="EEEEEE"/>
        <w:spacing w:after="0" w:line="240" w:lineRule="auto"/>
        <w:ind w:left="0"/>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Степень достижения целей и решения задач подпрограмм.</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Для оценки степени достижения целей и решения задач (степень реализации) определяется степень достижения плановых значений каждого показателя (индикатора), характеризующего цели и задачи подпрограмм.</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СД </w:t>
      </w:r>
      <w:r w:rsidRPr="00230760">
        <w:rPr>
          <w:rFonts w:ascii="Tahoma" w:eastAsia="Times New Roman" w:hAnsi="Tahoma" w:cs="Tahoma"/>
          <w:color w:val="000000"/>
          <w:sz w:val="13"/>
          <w:szCs w:val="13"/>
          <w:vertAlign w:val="subscript"/>
          <w:lang w:eastAsia="ru-RU"/>
        </w:rPr>
        <w:t>п/ппз</w:t>
      </w:r>
      <w:r w:rsidRPr="00230760">
        <w:rPr>
          <w:rFonts w:ascii="Tahoma" w:eastAsia="Times New Roman" w:hAnsi="Tahoma" w:cs="Tahoma"/>
          <w:color w:val="000000"/>
          <w:sz w:val="13"/>
          <w:szCs w:val="13"/>
          <w:lang w:eastAsia="ru-RU"/>
        </w:rPr>
        <w:t>=ЗП </w:t>
      </w:r>
      <w:r w:rsidRPr="00230760">
        <w:rPr>
          <w:rFonts w:ascii="Tahoma" w:eastAsia="Times New Roman" w:hAnsi="Tahoma" w:cs="Tahoma"/>
          <w:color w:val="000000"/>
          <w:sz w:val="13"/>
          <w:szCs w:val="13"/>
          <w:vertAlign w:val="subscript"/>
          <w:lang w:eastAsia="ru-RU"/>
        </w:rPr>
        <w:t>п/пф</w:t>
      </w:r>
      <w:r w:rsidRPr="00230760">
        <w:rPr>
          <w:rFonts w:ascii="Tahoma" w:eastAsia="Times New Roman" w:hAnsi="Tahoma" w:cs="Tahoma"/>
          <w:color w:val="000000"/>
          <w:sz w:val="13"/>
          <w:szCs w:val="13"/>
          <w:lang w:eastAsia="ru-RU"/>
        </w:rPr>
        <w:t>/</w:t>
      </w:r>
      <w:r w:rsidRPr="00230760">
        <w:rPr>
          <w:rFonts w:ascii="Tahoma" w:eastAsia="Times New Roman" w:hAnsi="Tahoma" w:cs="Tahoma"/>
          <w:color w:val="000000"/>
          <w:sz w:val="13"/>
          <w:szCs w:val="13"/>
          <w:vertAlign w:val="subscript"/>
          <w:lang w:eastAsia="ru-RU"/>
        </w:rPr>
        <w:t>  </w:t>
      </w:r>
      <w:r w:rsidRPr="00230760">
        <w:rPr>
          <w:rFonts w:ascii="Tahoma" w:eastAsia="Times New Roman" w:hAnsi="Tahoma" w:cs="Tahoma"/>
          <w:color w:val="000000"/>
          <w:sz w:val="13"/>
          <w:szCs w:val="13"/>
          <w:lang w:eastAsia="ru-RU"/>
        </w:rPr>
        <w:t>ЗП </w:t>
      </w:r>
      <w:r w:rsidRPr="00230760">
        <w:rPr>
          <w:rFonts w:ascii="Tahoma" w:eastAsia="Times New Roman" w:hAnsi="Tahoma" w:cs="Tahoma"/>
          <w:color w:val="000000"/>
          <w:sz w:val="13"/>
          <w:szCs w:val="13"/>
          <w:vertAlign w:val="subscript"/>
          <w:lang w:eastAsia="ru-RU"/>
        </w:rPr>
        <w:t>п/пп </w:t>
      </w:r>
      <w:r w:rsidRPr="00230760">
        <w:rPr>
          <w:rFonts w:ascii="Tahoma" w:eastAsia="Times New Roman" w:hAnsi="Tahoma" w:cs="Tahoma"/>
          <w:color w:val="000000"/>
          <w:sz w:val="13"/>
          <w:szCs w:val="13"/>
          <w:lang w:eastAsia="ru-RU"/>
        </w:rPr>
        <w:t>где: СД </w:t>
      </w:r>
      <w:r w:rsidRPr="00230760">
        <w:rPr>
          <w:rFonts w:ascii="Tahoma" w:eastAsia="Times New Roman" w:hAnsi="Tahoma" w:cs="Tahoma"/>
          <w:color w:val="000000"/>
          <w:sz w:val="13"/>
          <w:szCs w:val="13"/>
          <w:vertAlign w:val="subscript"/>
          <w:lang w:eastAsia="ru-RU"/>
        </w:rPr>
        <w:t>п/ппз </w:t>
      </w:r>
      <w:r w:rsidRPr="00230760">
        <w:rPr>
          <w:rFonts w:ascii="Tahoma" w:eastAsia="Times New Roman" w:hAnsi="Tahoma" w:cs="Tahoma"/>
          <w:color w:val="000000"/>
          <w:sz w:val="13"/>
          <w:szCs w:val="13"/>
          <w:lang w:eastAsia="ru-RU"/>
        </w:rPr>
        <w:t>– степень достижения планового значения показателя (индикатора), ЗП </w:t>
      </w:r>
      <w:r w:rsidRPr="00230760">
        <w:rPr>
          <w:rFonts w:ascii="Tahoma" w:eastAsia="Times New Roman" w:hAnsi="Tahoma" w:cs="Tahoma"/>
          <w:color w:val="000000"/>
          <w:sz w:val="13"/>
          <w:szCs w:val="13"/>
          <w:vertAlign w:val="subscript"/>
          <w:lang w:eastAsia="ru-RU"/>
        </w:rPr>
        <w:t>п/пФ</w:t>
      </w:r>
      <w:r w:rsidRPr="00230760">
        <w:rPr>
          <w:rFonts w:ascii="Tahoma" w:eastAsia="Times New Roman" w:hAnsi="Tahoma" w:cs="Tahoma"/>
          <w:color w:val="000000"/>
          <w:sz w:val="13"/>
          <w:szCs w:val="13"/>
          <w:lang w:eastAsia="ru-RU"/>
        </w:rPr>
        <w:t> – значение показателя (индикатора), характеризующее цели и задачи подпрограммы, ЗП </w:t>
      </w:r>
      <w:r w:rsidRPr="00230760">
        <w:rPr>
          <w:rFonts w:ascii="Tahoma" w:eastAsia="Times New Roman" w:hAnsi="Tahoma" w:cs="Tahoma"/>
          <w:color w:val="000000"/>
          <w:sz w:val="13"/>
          <w:szCs w:val="13"/>
          <w:vertAlign w:val="subscript"/>
          <w:lang w:eastAsia="ru-RU"/>
        </w:rPr>
        <w:t>п/пп</w:t>
      </w:r>
      <w:r w:rsidRPr="00230760">
        <w:rPr>
          <w:rFonts w:ascii="Tahoma" w:eastAsia="Times New Roman" w:hAnsi="Tahoma" w:cs="Tahoma"/>
          <w:color w:val="000000"/>
          <w:sz w:val="13"/>
          <w:szCs w:val="13"/>
          <w:lang w:eastAsia="ru-RU"/>
        </w:rPr>
        <w:t> – плановое значение показателя (индикатора), характеризующего цели и задачи подпрограммы.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Расчет степени достижения плановых значений показателей (индикаторов) не производится, так как в муниципальной программе не предусмотрены показатели (индикаторы).</w:t>
      </w:r>
    </w:p>
    <w:p w:rsidR="00230760" w:rsidRPr="00230760" w:rsidRDefault="00230760" w:rsidP="00230760">
      <w:pPr>
        <w:numPr>
          <w:ilvl w:val="0"/>
          <w:numId w:val="19"/>
        </w:numPr>
        <w:shd w:val="clear" w:color="auto" w:fill="EEEEEE"/>
        <w:spacing w:after="0" w:line="240" w:lineRule="auto"/>
        <w:ind w:left="0"/>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Степень реализации подпрограмм.</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Степень реализации подпрограмм рассчитывается по формуле:</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где: СР</w:t>
      </w:r>
      <w:r w:rsidRPr="00230760">
        <w:rPr>
          <w:rFonts w:ascii="Tahoma" w:eastAsia="Times New Roman" w:hAnsi="Tahoma" w:cs="Tahoma"/>
          <w:color w:val="000000"/>
          <w:sz w:val="13"/>
          <w:szCs w:val="13"/>
          <w:vertAlign w:val="subscript"/>
          <w:lang w:eastAsia="ru-RU"/>
        </w:rPr>
        <w:t>п/п</w:t>
      </w:r>
      <w:r w:rsidRPr="00230760">
        <w:rPr>
          <w:rFonts w:ascii="Tahoma" w:eastAsia="Times New Roman" w:hAnsi="Tahoma" w:cs="Tahoma"/>
          <w:color w:val="000000"/>
          <w:sz w:val="13"/>
          <w:szCs w:val="13"/>
          <w:lang w:eastAsia="ru-RU"/>
        </w:rPr>
        <w:t> - степень реализации подпрограммы;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lastRenderedPageBreak/>
        <w:t>СД</w:t>
      </w:r>
      <w:r w:rsidRPr="00230760">
        <w:rPr>
          <w:rFonts w:ascii="Tahoma" w:eastAsia="Times New Roman" w:hAnsi="Tahoma" w:cs="Tahoma"/>
          <w:color w:val="000000"/>
          <w:sz w:val="13"/>
          <w:szCs w:val="13"/>
          <w:vertAlign w:val="subscript"/>
          <w:lang w:eastAsia="ru-RU"/>
        </w:rPr>
        <w:t>п/ппз</w:t>
      </w:r>
      <w:r w:rsidRPr="00230760">
        <w:rPr>
          <w:rFonts w:ascii="Tahoma" w:eastAsia="Times New Roman" w:hAnsi="Tahoma" w:cs="Tahoma"/>
          <w:color w:val="000000"/>
          <w:sz w:val="13"/>
          <w:szCs w:val="13"/>
          <w:lang w:eastAsia="ru-RU"/>
        </w:rPr>
        <w:t> - степень достижения планового значения показателя (индикатора), характеризующего цели и задачи подпрограммы;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N - число показателей (индикаторов), характеризующих цели и задачи подпрограммы.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Степень реализации подпрограмм не производится, так как в муниципальной программе не предусмотрены показатели (индикаторы).</w:t>
      </w:r>
    </w:p>
    <w:p w:rsidR="00230760" w:rsidRPr="00230760" w:rsidRDefault="00230760" w:rsidP="00230760">
      <w:pPr>
        <w:numPr>
          <w:ilvl w:val="0"/>
          <w:numId w:val="20"/>
        </w:numPr>
        <w:shd w:val="clear" w:color="auto" w:fill="EEEEEE"/>
        <w:spacing w:after="0" w:line="240" w:lineRule="auto"/>
        <w:ind w:left="0"/>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Оценка эффективности реализации подпрограмм.</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муниципального района по следующей формуле:</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ЭР</w:t>
      </w:r>
      <w:r w:rsidRPr="00230760">
        <w:rPr>
          <w:rFonts w:ascii="Tahoma" w:eastAsia="Times New Roman" w:hAnsi="Tahoma" w:cs="Tahoma"/>
          <w:color w:val="000000"/>
          <w:sz w:val="13"/>
          <w:szCs w:val="13"/>
          <w:vertAlign w:val="subscript"/>
          <w:lang w:eastAsia="ru-RU"/>
        </w:rPr>
        <w:t>п/п</w:t>
      </w:r>
      <w:r w:rsidRPr="00230760">
        <w:rPr>
          <w:rFonts w:ascii="Tahoma" w:eastAsia="Times New Roman" w:hAnsi="Tahoma" w:cs="Tahoma"/>
          <w:color w:val="000000"/>
          <w:sz w:val="13"/>
          <w:szCs w:val="13"/>
          <w:lang w:eastAsia="ru-RU"/>
        </w:rPr>
        <w:t> = СР</w:t>
      </w:r>
      <w:r w:rsidRPr="00230760">
        <w:rPr>
          <w:rFonts w:ascii="Tahoma" w:eastAsia="Times New Roman" w:hAnsi="Tahoma" w:cs="Tahoma"/>
          <w:color w:val="000000"/>
          <w:sz w:val="13"/>
          <w:szCs w:val="13"/>
          <w:vertAlign w:val="subscript"/>
          <w:lang w:eastAsia="ru-RU"/>
        </w:rPr>
        <w:t>п/п</w:t>
      </w:r>
      <w:r w:rsidRPr="00230760">
        <w:rPr>
          <w:rFonts w:ascii="Tahoma" w:eastAsia="Times New Roman" w:hAnsi="Tahoma" w:cs="Tahoma"/>
          <w:color w:val="000000"/>
          <w:sz w:val="13"/>
          <w:szCs w:val="13"/>
          <w:lang w:eastAsia="ru-RU"/>
        </w:rPr>
        <w:t> x Э</w:t>
      </w:r>
      <w:r w:rsidRPr="00230760">
        <w:rPr>
          <w:rFonts w:ascii="Tahoma" w:eastAsia="Times New Roman" w:hAnsi="Tahoma" w:cs="Tahoma"/>
          <w:color w:val="000000"/>
          <w:sz w:val="13"/>
          <w:szCs w:val="13"/>
          <w:vertAlign w:val="subscript"/>
          <w:lang w:eastAsia="ru-RU"/>
        </w:rPr>
        <w:t>ис</w:t>
      </w:r>
      <w:r w:rsidRPr="00230760">
        <w:rPr>
          <w:rFonts w:ascii="Tahoma" w:eastAsia="Times New Roman" w:hAnsi="Tahoma" w:cs="Tahoma"/>
          <w:color w:val="000000"/>
          <w:sz w:val="13"/>
          <w:szCs w:val="13"/>
          <w:lang w:eastAsia="ru-RU"/>
        </w:rPr>
        <w:t>, где:</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ЭР</w:t>
      </w:r>
      <w:r w:rsidRPr="00230760">
        <w:rPr>
          <w:rFonts w:ascii="Tahoma" w:eastAsia="Times New Roman" w:hAnsi="Tahoma" w:cs="Tahoma"/>
          <w:color w:val="000000"/>
          <w:sz w:val="13"/>
          <w:szCs w:val="13"/>
          <w:vertAlign w:val="subscript"/>
          <w:lang w:eastAsia="ru-RU"/>
        </w:rPr>
        <w:t>п/п</w:t>
      </w:r>
      <w:r w:rsidRPr="00230760">
        <w:rPr>
          <w:rFonts w:ascii="Tahoma" w:eastAsia="Times New Roman" w:hAnsi="Tahoma" w:cs="Tahoma"/>
          <w:color w:val="000000"/>
          <w:sz w:val="13"/>
          <w:szCs w:val="13"/>
          <w:lang w:eastAsia="ru-RU"/>
        </w:rPr>
        <w:t> - эффективность реализации подпрограммы;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СР</w:t>
      </w:r>
      <w:r w:rsidRPr="00230760">
        <w:rPr>
          <w:rFonts w:ascii="Tahoma" w:eastAsia="Times New Roman" w:hAnsi="Tahoma" w:cs="Tahoma"/>
          <w:color w:val="000000"/>
          <w:sz w:val="13"/>
          <w:szCs w:val="13"/>
          <w:vertAlign w:val="subscript"/>
          <w:lang w:eastAsia="ru-RU"/>
        </w:rPr>
        <w:t>п/п</w:t>
      </w:r>
      <w:r w:rsidRPr="00230760">
        <w:rPr>
          <w:rFonts w:ascii="Tahoma" w:eastAsia="Times New Roman" w:hAnsi="Tahoma" w:cs="Tahoma"/>
          <w:color w:val="000000"/>
          <w:sz w:val="13"/>
          <w:szCs w:val="13"/>
          <w:lang w:eastAsia="ru-RU"/>
        </w:rPr>
        <w:t> - степень реализации подпрограммы;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Э</w:t>
      </w:r>
      <w:r w:rsidRPr="00230760">
        <w:rPr>
          <w:rFonts w:ascii="Tahoma" w:eastAsia="Times New Roman" w:hAnsi="Tahoma" w:cs="Tahoma"/>
          <w:color w:val="000000"/>
          <w:sz w:val="13"/>
          <w:szCs w:val="13"/>
          <w:vertAlign w:val="subscript"/>
          <w:lang w:eastAsia="ru-RU"/>
        </w:rPr>
        <w:t>ис</w:t>
      </w:r>
      <w:r w:rsidRPr="00230760">
        <w:rPr>
          <w:rFonts w:ascii="Tahoma" w:eastAsia="Times New Roman" w:hAnsi="Tahoma" w:cs="Tahoma"/>
          <w:color w:val="000000"/>
          <w:sz w:val="13"/>
          <w:szCs w:val="13"/>
          <w:lang w:eastAsia="ru-RU"/>
        </w:rPr>
        <w:t> - эффективность использования средств бюджета (либо - по решению ответственного исполнителя - эффективность использования финансовых ресурсов на реализацию подпрограммы).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ЭР</w:t>
      </w:r>
      <w:r w:rsidRPr="00230760">
        <w:rPr>
          <w:rFonts w:ascii="Tahoma" w:eastAsia="Times New Roman" w:hAnsi="Tahoma" w:cs="Tahoma"/>
          <w:color w:val="000000"/>
          <w:sz w:val="13"/>
          <w:szCs w:val="13"/>
          <w:vertAlign w:val="subscript"/>
          <w:lang w:eastAsia="ru-RU"/>
        </w:rPr>
        <w:t>п/п </w:t>
      </w:r>
      <w:r w:rsidRPr="00230760">
        <w:rPr>
          <w:rFonts w:ascii="Tahoma" w:eastAsia="Times New Roman" w:hAnsi="Tahoma" w:cs="Tahoma"/>
          <w:color w:val="000000"/>
          <w:sz w:val="13"/>
          <w:szCs w:val="13"/>
          <w:lang w:eastAsia="ru-RU"/>
        </w:rPr>
        <w:t>подпрограммы 1=1х1=1</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Так как значение показателя не менее 0,9 эффективность реализации подпрограммы 1 признается высокой.</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ЭР</w:t>
      </w:r>
      <w:r w:rsidRPr="00230760">
        <w:rPr>
          <w:rFonts w:ascii="Tahoma" w:eastAsia="Times New Roman" w:hAnsi="Tahoma" w:cs="Tahoma"/>
          <w:color w:val="000000"/>
          <w:sz w:val="13"/>
          <w:szCs w:val="13"/>
          <w:vertAlign w:val="subscript"/>
          <w:lang w:eastAsia="ru-RU"/>
        </w:rPr>
        <w:t>п/п </w:t>
      </w:r>
      <w:r w:rsidRPr="00230760">
        <w:rPr>
          <w:rFonts w:ascii="Tahoma" w:eastAsia="Times New Roman" w:hAnsi="Tahoma" w:cs="Tahoma"/>
          <w:color w:val="000000"/>
          <w:sz w:val="13"/>
          <w:szCs w:val="13"/>
          <w:lang w:eastAsia="ru-RU"/>
        </w:rPr>
        <w:t>подпрограммы 2=0.94х0.98=0.92</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Так как значение показателя не менее 0,9 эффективность реализации подпрограммы 2 признается высокой.</w:t>
      </w:r>
    </w:p>
    <w:p w:rsidR="00230760" w:rsidRPr="00230760" w:rsidRDefault="00230760" w:rsidP="00230760">
      <w:pPr>
        <w:numPr>
          <w:ilvl w:val="0"/>
          <w:numId w:val="21"/>
        </w:numPr>
        <w:shd w:val="clear" w:color="auto" w:fill="EEEEEE"/>
        <w:spacing w:after="0" w:line="240" w:lineRule="auto"/>
        <w:ind w:left="0"/>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Степень достижения целей и решения задач (степень реализации) муниципальной 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Для оценки степени достижения целей и решения задач (степень реализации) муниципальной программы определяется степень достижения плановых значений каждого показателя (индикатора), характеризующего цели и задачи муниципальной 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Степень достижения планового значения показателя (индикатора), характеризующего цели и задачи муниципальной программы, рассчитывается по следующим формулам:</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СД</w:t>
      </w:r>
      <w:r w:rsidRPr="00230760">
        <w:rPr>
          <w:rFonts w:ascii="Tahoma" w:eastAsia="Times New Roman" w:hAnsi="Tahoma" w:cs="Tahoma"/>
          <w:color w:val="000000"/>
          <w:sz w:val="13"/>
          <w:szCs w:val="13"/>
          <w:vertAlign w:val="subscript"/>
          <w:lang w:eastAsia="ru-RU"/>
        </w:rPr>
        <w:t>гппз</w:t>
      </w:r>
      <w:r w:rsidRPr="00230760">
        <w:rPr>
          <w:rFonts w:ascii="Tahoma" w:eastAsia="Times New Roman" w:hAnsi="Tahoma" w:cs="Tahoma"/>
          <w:color w:val="000000"/>
          <w:sz w:val="13"/>
          <w:szCs w:val="13"/>
          <w:lang w:eastAsia="ru-RU"/>
        </w:rPr>
        <w:t> = ЗП</w:t>
      </w:r>
      <w:r w:rsidRPr="00230760">
        <w:rPr>
          <w:rFonts w:ascii="Tahoma" w:eastAsia="Times New Roman" w:hAnsi="Tahoma" w:cs="Tahoma"/>
          <w:color w:val="000000"/>
          <w:sz w:val="13"/>
          <w:szCs w:val="13"/>
          <w:vertAlign w:val="subscript"/>
          <w:lang w:eastAsia="ru-RU"/>
        </w:rPr>
        <w:t>гпф</w:t>
      </w:r>
      <w:r w:rsidRPr="00230760">
        <w:rPr>
          <w:rFonts w:ascii="Tahoma" w:eastAsia="Times New Roman" w:hAnsi="Tahoma" w:cs="Tahoma"/>
          <w:color w:val="000000"/>
          <w:sz w:val="13"/>
          <w:szCs w:val="13"/>
          <w:lang w:eastAsia="ru-RU"/>
        </w:rPr>
        <w:t> / ЗП</w:t>
      </w:r>
      <w:r w:rsidRPr="00230760">
        <w:rPr>
          <w:rFonts w:ascii="Tahoma" w:eastAsia="Times New Roman" w:hAnsi="Tahoma" w:cs="Tahoma"/>
          <w:color w:val="000000"/>
          <w:sz w:val="13"/>
          <w:szCs w:val="13"/>
          <w:vertAlign w:val="subscript"/>
          <w:lang w:eastAsia="ru-RU"/>
        </w:rPr>
        <w:t>гпп</w:t>
      </w:r>
      <w:r w:rsidRPr="00230760">
        <w:rPr>
          <w:rFonts w:ascii="Tahoma" w:eastAsia="Times New Roman" w:hAnsi="Tahoma" w:cs="Tahoma"/>
          <w:color w:val="000000"/>
          <w:sz w:val="13"/>
          <w:szCs w:val="13"/>
          <w:lang w:eastAsia="ru-RU"/>
        </w:rPr>
        <w:t>, где:</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СД</w:t>
      </w:r>
      <w:r w:rsidRPr="00230760">
        <w:rPr>
          <w:rFonts w:ascii="Tahoma" w:eastAsia="Times New Roman" w:hAnsi="Tahoma" w:cs="Tahoma"/>
          <w:color w:val="000000"/>
          <w:sz w:val="13"/>
          <w:szCs w:val="13"/>
          <w:vertAlign w:val="subscript"/>
          <w:lang w:eastAsia="ru-RU"/>
        </w:rPr>
        <w:t>гппз</w:t>
      </w:r>
      <w:r w:rsidRPr="00230760">
        <w:rPr>
          <w:rFonts w:ascii="Tahoma" w:eastAsia="Times New Roman" w:hAnsi="Tahoma" w:cs="Tahoma"/>
          <w:color w:val="000000"/>
          <w:sz w:val="13"/>
          <w:szCs w:val="13"/>
          <w:lang w:eastAsia="ru-RU"/>
        </w:rPr>
        <w:t> - степень достижения планового значения показателя (индикатора), характеризующего цели и задачи муниципальной 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ЗП</w:t>
      </w:r>
      <w:r w:rsidRPr="00230760">
        <w:rPr>
          <w:rFonts w:ascii="Tahoma" w:eastAsia="Times New Roman" w:hAnsi="Tahoma" w:cs="Tahoma"/>
          <w:color w:val="000000"/>
          <w:sz w:val="13"/>
          <w:szCs w:val="13"/>
          <w:vertAlign w:val="subscript"/>
          <w:lang w:eastAsia="ru-RU"/>
        </w:rPr>
        <w:t>гпф</w:t>
      </w:r>
      <w:r w:rsidRPr="00230760">
        <w:rPr>
          <w:rFonts w:ascii="Tahoma" w:eastAsia="Times New Roman" w:hAnsi="Tahoma" w:cs="Tahoma"/>
          <w:color w:val="000000"/>
          <w:sz w:val="13"/>
          <w:szCs w:val="13"/>
          <w:lang w:eastAsia="ru-RU"/>
        </w:rPr>
        <w:t> - значение показателя (индикатора), характеризующего цели и задачи муниципальной программы, фактически достигнутое на конец отчетного периода;</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ЗП</w:t>
      </w:r>
      <w:r w:rsidRPr="00230760">
        <w:rPr>
          <w:rFonts w:ascii="Tahoma" w:eastAsia="Times New Roman" w:hAnsi="Tahoma" w:cs="Tahoma"/>
          <w:color w:val="000000"/>
          <w:sz w:val="13"/>
          <w:szCs w:val="13"/>
          <w:vertAlign w:val="subscript"/>
          <w:lang w:eastAsia="ru-RU"/>
        </w:rPr>
        <w:t>гпп</w:t>
      </w:r>
      <w:r w:rsidRPr="00230760">
        <w:rPr>
          <w:rFonts w:ascii="Tahoma" w:eastAsia="Times New Roman" w:hAnsi="Tahoma" w:cs="Tahoma"/>
          <w:color w:val="000000"/>
          <w:sz w:val="13"/>
          <w:szCs w:val="13"/>
          <w:lang w:eastAsia="ru-RU"/>
        </w:rPr>
        <w:t> - плановое значение показателя (индикатора), характеризующего цели и задачи муниципальной 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Степень достижения целей и решения задач (степень реализации) муниципальной программы не производится, так как в муниципальной программе не предусмотрены показатели (индикаторы).</w:t>
      </w:r>
    </w:p>
    <w:p w:rsidR="00230760" w:rsidRPr="00230760" w:rsidRDefault="00230760" w:rsidP="00230760">
      <w:pPr>
        <w:numPr>
          <w:ilvl w:val="0"/>
          <w:numId w:val="22"/>
        </w:numPr>
        <w:shd w:val="clear" w:color="auto" w:fill="EEEEEE"/>
        <w:spacing w:after="0" w:line="240" w:lineRule="auto"/>
        <w:ind w:left="0"/>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Степень реализации муниципальной 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Степень реализации муниципальной программы рассчитывается по формуле:</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где:</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СР</w:t>
      </w:r>
      <w:r w:rsidRPr="00230760">
        <w:rPr>
          <w:rFonts w:ascii="Tahoma" w:eastAsia="Times New Roman" w:hAnsi="Tahoma" w:cs="Tahoma"/>
          <w:color w:val="000000"/>
          <w:sz w:val="13"/>
          <w:szCs w:val="13"/>
          <w:vertAlign w:val="subscript"/>
          <w:lang w:eastAsia="ru-RU"/>
        </w:rPr>
        <w:t>гп</w:t>
      </w:r>
      <w:r w:rsidRPr="00230760">
        <w:rPr>
          <w:rFonts w:ascii="Tahoma" w:eastAsia="Times New Roman" w:hAnsi="Tahoma" w:cs="Tahoma"/>
          <w:color w:val="000000"/>
          <w:sz w:val="13"/>
          <w:szCs w:val="13"/>
          <w:lang w:eastAsia="ru-RU"/>
        </w:rPr>
        <w:t> - степень реализации муниципальной 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СД</w:t>
      </w:r>
      <w:r w:rsidRPr="00230760">
        <w:rPr>
          <w:rFonts w:ascii="Tahoma" w:eastAsia="Times New Roman" w:hAnsi="Tahoma" w:cs="Tahoma"/>
          <w:color w:val="000000"/>
          <w:sz w:val="13"/>
          <w:szCs w:val="13"/>
          <w:vertAlign w:val="subscript"/>
          <w:lang w:eastAsia="ru-RU"/>
        </w:rPr>
        <w:t>гппз</w:t>
      </w:r>
      <w:r w:rsidRPr="00230760">
        <w:rPr>
          <w:rFonts w:ascii="Tahoma" w:eastAsia="Times New Roman" w:hAnsi="Tahoma" w:cs="Tahoma"/>
          <w:color w:val="000000"/>
          <w:sz w:val="13"/>
          <w:szCs w:val="13"/>
          <w:lang w:eastAsia="ru-RU"/>
        </w:rPr>
        <w:t> - степень достижения планового значения показателя (индикатора), характеризующего цели и задачи муниципальной 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М - число показателей (индикаторов), характеризующих цели и задачи подпрограммы.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При использовании данной формулы, в случае если СД</w:t>
      </w:r>
      <w:r w:rsidRPr="00230760">
        <w:rPr>
          <w:rFonts w:ascii="Tahoma" w:eastAsia="Times New Roman" w:hAnsi="Tahoma" w:cs="Tahoma"/>
          <w:color w:val="000000"/>
          <w:sz w:val="13"/>
          <w:szCs w:val="13"/>
          <w:vertAlign w:val="subscript"/>
          <w:lang w:eastAsia="ru-RU"/>
        </w:rPr>
        <w:t>гппз</w:t>
      </w:r>
      <w:r w:rsidRPr="00230760">
        <w:rPr>
          <w:rFonts w:ascii="Tahoma" w:eastAsia="Times New Roman" w:hAnsi="Tahoma" w:cs="Tahoma"/>
          <w:color w:val="000000"/>
          <w:sz w:val="13"/>
          <w:szCs w:val="13"/>
          <w:lang w:eastAsia="ru-RU"/>
        </w:rPr>
        <w:t> больше 1, значение СД</w:t>
      </w:r>
      <w:r w:rsidRPr="00230760">
        <w:rPr>
          <w:rFonts w:ascii="Tahoma" w:eastAsia="Times New Roman" w:hAnsi="Tahoma" w:cs="Tahoma"/>
          <w:color w:val="000000"/>
          <w:sz w:val="13"/>
          <w:szCs w:val="13"/>
          <w:vertAlign w:val="subscript"/>
          <w:lang w:eastAsia="ru-RU"/>
        </w:rPr>
        <w:t>гппз</w:t>
      </w:r>
      <w:r w:rsidRPr="00230760">
        <w:rPr>
          <w:rFonts w:ascii="Tahoma" w:eastAsia="Times New Roman" w:hAnsi="Tahoma" w:cs="Tahoma"/>
          <w:color w:val="000000"/>
          <w:sz w:val="13"/>
          <w:szCs w:val="13"/>
          <w:lang w:eastAsia="ru-RU"/>
        </w:rPr>
        <w:t> принимается равным 1.</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Степень реализации муниципальной программы не производится, так как в муниципальной программе не предусмотрены показатели (индикаторы).</w:t>
      </w:r>
    </w:p>
    <w:p w:rsidR="00230760" w:rsidRPr="00230760" w:rsidRDefault="00230760" w:rsidP="00230760">
      <w:pPr>
        <w:numPr>
          <w:ilvl w:val="0"/>
          <w:numId w:val="23"/>
        </w:numPr>
        <w:shd w:val="clear" w:color="auto" w:fill="EEEEEE"/>
        <w:spacing w:after="0" w:line="240" w:lineRule="auto"/>
        <w:ind w:left="0"/>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Эффективность реализации муниципальной 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   где:</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ЭР</w:t>
      </w:r>
      <w:r w:rsidRPr="00230760">
        <w:rPr>
          <w:rFonts w:ascii="Tahoma" w:eastAsia="Times New Roman" w:hAnsi="Tahoma" w:cs="Tahoma"/>
          <w:color w:val="000000"/>
          <w:sz w:val="13"/>
          <w:szCs w:val="13"/>
          <w:vertAlign w:val="subscript"/>
          <w:lang w:eastAsia="ru-RU"/>
        </w:rPr>
        <w:t>гп</w:t>
      </w:r>
      <w:r w:rsidRPr="00230760">
        <w:rPr>
          <w:rFonts w:ascii="Tahoma" w:eastAsia="Times New Roman" w:hAnsi="Tahoma" w:cs="Tahoma"/>
          <w:color w:val="000000"/>
          <w:sz w:val="13"/>
          <w:szCs w:val="13"/>
          <w:lang w:eastAsia="ru-RU"/>
        </w:rPr>
        <w:t> - эффективность реализации муниципальной 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СР</w:t>
      </w:r>
      <w:r w:rsidRPr="00230760">
        <w:rPr>
          <w:rFonts w:ascii="Tahoma" w:eastAsia="Times New Roman" w:hAnsi="Tahoma" w:cs="Tahoma"/>
          <w:color w:val="000000"/>
          <w:sz w:val="13"/>
          <w:szCs w:val="13"/>
          <w:vertAlign w:val="subscript"/>
          <w:lang w:eastAsia="ru-RU"/>
        </w:rPr>
        <w:t>гп</w:t>
      </w:r>
      <w:r w:rsidRPr="00230760">
        <w:rPr>
          <w:rFonts w:ascii="Tahoma" w:eastAsia="Times New Roman" w:hAnsi="Tahoma" w:cs="Tahoma"/>
          <w:color w:val="000000"/>
          <w:sz w:val="13"/>
          <w:szCs w:val="13"/>
          <w:lang w:eastAsia="ru-RU"/>
        </w:rPr>
        <w:t> - степень реализации муниципальной 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ЭР</w:t>
      </w:r>
      <w:r w:rsidRPr="00230760">
        <w:rPr>
          <w:rFonts w:ascii="Tahoma" w:eastAsia="Times New Roman" w:hAnsi="Tahoma" w:cs="Tahoma"/>
          <w:color w:val="000000"/>
          <w:sz w:val="13"/>
          <w:szCs w:val="13"/>
          <w:vertAlign w:val="subscript"/>
          <w:lang w:eastAsia="ru-RU"/>
        </w:rPr>
        <w:t>п/п</w:t>
      </w:r>
      <w:r w:rsidRPr="00230760">
        <w:rPr>
          <w:rFonts w:ascii="Tahoma" w:eastAsia="Times New Roman" w:hAnsi="Tahoma" w:cs="Tahoma"/>
          <w:color w:val="000000"/>
          <w:sz w:val="13"/>
          <w:szCs w:val="13"/>
          <w:lang w:eastAsia="ru-RU"/>
        </w:rPr>
        <w:t> - эффективность реализации подпрограммы;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k</w:t>
      </w:r>
      <w:r w:rsidRPr="00230760">
        <w:rPr>
          <w:rFonts w:ascii="Tahoma" w:eastAsia="Times New Roman" w:hAnsi="Tahoma" w:cs="Tahoma"/>
          <w:color w:val="000000"/>
          <w:sz w:val="13"/>
          <w:szCs w:val="13"/>
          <w:vertAlign w:val="subscript"/>
          <w:lang w:eastAsia="ru-RU"/>
        </w:rPr>
        <w:t>j</w:t>
      </w:r>
      <w:r w:rsidRPr="00230760">
        <w:rPr>
          <w:rFonts w:ascii="Tahoma" w:eastAsia="Times New Roman" w:hAnsi="Tahoma" w:cs="Tahoma"/>
          <w:color w:val="000000"/>
          <w:sz w:val="13"/>
          <w:szCs w:val="13"/>
          <w:lang w:eastAsia="ru-RU"/>
        </w:rPr>
        <w:t>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sidRPr="00230760">
        <w:rPr>
          <w:rFonts w:ascii="Tahoma" w:eastAsia="Times New Roman" w:hAnsi="Tahoma" w:cs="Tahoma"/>
          <w:color w:val="000000"/>
          <w:sz w:val="13"/>
          <w:szCs w:val="13"/>
          <w:vertAlign w:val="subscript"/>
          <w:lang w:eastAsia="ru-RU"/>
        </w:rPr>
        <w:t>j</w:t>
      </w:r>
      <w:r w:rsidRPr="00230760">
        <w:rPr>
          <w:rFonts w:ascii="Tahoma" w:eastAsia="Times New Roman" w:hAnsi="Tahoma" w:cs="Tahoma"/>
          <w:color w:val="000000"/>
          <w:sz w:val="13"/>
          <w:szCs w:val="13"/>
          <w:lang w:eastAsia="ru-RU"/>
        </w:rPr>
        <w:t> определяется по формуле: kj = Фj / Ф, где Ф</w:t>
      </w:r>
      <w:r w:rsidRPr="00230760">
        <w:rPr>
          <w:rFonts w:ascii="Tahoma" w:eastAsia="Times New Roman" w:hAnsi="Tahoma" w:cs="Tahoma"/>
          <w:color w:val="000000"/>
          <w:sz w:val="13"/>
          <w:szCs w:val="13"/>
          <w:vertAlign w:val="subscript"/>
          <w:lang w:eastAsia="ru-RU"/>
        </w:rPr>
        <w:t>j</w:t>
      </w:r>
      <w:r w:rsidRPr="00230760">
        <w:rPr>
          <w:rFonts w:ascii="Tahoma" w:eastAsia="Times New Roman" w:hAnsi="Tahoma" w:cs="Tahoma"/>
          <w:color w:val="000000"/>
          <w:sz w:val="13"/>
          <w:szCs w:val="13"/>
          <w:lang w:eastAsia="ru-RU"/>
        </w:rPr>
        <w:t> -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j - количество подпрограмм.</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ЭР</w:t>
      </w:r>
      <w:r w:rsidRPr="00230760">
        <w:rPr>
          <w:rFonts w:ascii="Tahoma" w:eastAsia="Times New Roman" w:hAnsi="Tahoma" w:cs="Tahoma"/>
          <w:color w:val="000000"/>
          <w:sz w:val="13"/>
          <w:szCs w:val="13"/>
          <w:vertAlign w:val="subscript"/>
          <w:lang w:eastAsia="ru-RU"/>
        </w:rPr>
        <w:t>гп</w:t>
      </w:r>
      <w:r w:rsidRPr="00230760">
        <w:rPr>
          <w:rFonts w:ascii="Tahoma" w:eastAsia="Times New Roman" w:hAnsi="Tahoma" w:cs="Tahoma"/>
          <w:color w:val="000000"/>
          <w:sz w:val="13"/>
          <w:szCs w:val="13"/>
          <w:lang w:eastAsia="ru-RU"/>
        </w:rPr>
        <w:t>= 0,5х 0,9+0,5х((1х (414,200/419,600)+0,9 х  (112,400/127,000)) =0,9</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Значение показателя составило  0,9 следовательно, эффективность реализации муниципальной программы Пристенского района Курской области «Профилактика правонарушений в Пристенском районе Курской области на      2017 – 2019 годы признается высокой. Цели и задачи поставленные в муниципальной программе выполнены в полном объеме.</w:t>
      </w:r>
    </w:p>
    <w:p w:rsidR="00230760" w:rsidRPr="00230760" w:rsidRDefault="00230760" w:rsidP="00230760">
      <w:pPr>
        <w:shd w:val="clear" w:color="auto" w:fill="EEEEEE"/>
        <w:spacing w:after="0" w:line="240" w:lineRule="auto"/>
        <w:jc w:val="both"/>
        <w:rPr>
          <w:rFonts w:ascii="Tahoma" w:eastAsia="Times New Roman" w:hAnsi="Tahoma" w:cs="Tahoma"/>
          <w:color w:val="000000"/>
          <w:sz w:val="13"/>
          <w:szCs w:val="13"/>
          <w:lang w:eastAsia="ru-RU"/>
        </w:rPr>
      </w:pPr>
      <w:r w:rsidRPr="00230760">
        <w:rPr>
          <w:rFonts w:ascii="Tahoma" w:eastAsia="Times New Roman" w:hAnsi="Tahoma" w:cs="Tahoma"/>
          <w:color w:val="000000"/>
          <w:sz w:val="13"/>
          <w:szCs w:val="13"/>
          <w:lang w:eastAsia="ru-RU"/>
        </w:rPr>
        <w:t>В муниципальной программе «Профилактика правонарушений в Пристенском районе Курской области на  2017 – 2019 годы» целевые показатели не были заложены. Целевые показатели  заложены в муниципальной программе «Профилактика правонарушений в Пристенском районе Курской области на 2020–2022 годы», которая  утверждена  постановлением администрации  Пристенского района Курской области от 30 октября 2019 года №626-па и будет реализовываться с 2020 года.</w:t>
      </w:r>
    </w:p>
    <w:p w:rsidR="00560C54" w:rsidRPr="00230760" w:rsidRDefault="00560C54" w:rsidP="00230760"/>
    <w:sectPr w:rsidR="00560C54" w:rsidRPr="00230760"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1EC0"/>
    <w:multiLevelType w:val="multilevel"/>
    <w:tmpl w:val="B1C45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037764"/>
    <w:multiLevelType w:val="multilevel"/>
    <w:tmpl w:val="1730D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BB1FFB"/>
    <w:multiLevelType w:val="multilevel"/>
    <w:tmpl w:val="0C488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DC13E9"/>
    <w:multiLevelType w:val="multilevel"/>
    <w:tmpl w:val="1B7CB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4E7076"/>
    <w:multiLevelType w:val="multilevel"/>
    <w:tmpl w:val="7A989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790542"/>
    <w:multiLevelType w:val="multilevel"/>
    <w:tmpl w:val="EFC8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B247F6"/>
    <w:multiLevelType w:val="multilevel"/>
    <w:tmpl w:val="CE9E1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AA052E"/>
    <w:multiLevelType w:val="multilevel"/>
    <w:tmpl w:val="B31E1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BA5E32"/>
    <w:multiLevelType w:val="multilevel"/>
    <w:tmpl w:val="FC04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9E7D2E"/>
    <w:multiLevelType w:val="multilevel"/>
    <w:tmpl w:val="3F88B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642B76"/>
    <w:multiLevelType w:val="multilevel"/>
    <w:tmpl w:val="13C60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F977D2"/>
    <w:multiLevelType w:val="multilevel"/>
    <w:tmpl w:val="041AA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136070"/>
    <w:multiLevelType w:val="multilevel"/>
    <w:tmpl w:val="F4A6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7F4EE0"/>
    <w:multiLevelType w:val="multilevel"/>
    <w:tmpl w:val="39F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6A71B3E"/>
    <w:multiLevelType w:val="multilevel"/>
    <w:tmpl w:val="B1CC9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2E5FE4"/>
    <w:multiLevelType w:val="multilevel"/>
    <w:tmpl w:val="FDFEA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99510E"/>
    <w:multiLevelType w:val="multilevel"/>
    <w:tmpl w:val="B5506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5D3993"/>
    <w:multiLevelType w:val="multilevel"/>
    <w:tmpl w:val="EBC8E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FF4CC6"/>
    <w:multiLevelType w:val="multilevel"/>
    <w:tmpl w:val="314E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873C86"/>
    <w:multiLevelType w:val="multilevel"/>
    <w:tmpl w:val="5324F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0B512AE"/>
    <w:multiLevelType w:val="multilevel"/>
    <w:tmpl w:val="7C9AC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442A2A"/>
    <w:multiLevelType w:val="multilevel"/>
    <w:tmpl w:val="86260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D86D0E"/>
    <w:multiLevelType w:val="multilevel"/>
    <w:tmpl w:val="1BBAF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15"/>
  </w:num>
  <w:num w:numId="4">
    <w:abstractNumId w:val="0"/>
  </w:num>
  <w:num w:numId="5">
    <w:abstractNumId w:val="13"/>
  </w:num>
  <w:num w:numId="6">
    <w:abstractNumId w:val="16"/>
  </w:num>
  <w:num w:numId="7">
    <w:abstractNumId w:val="1"/>
  </w:num>
  <w:num w:numId="8">
    <w:abstractNumId w:val="10"/>
  </w:num>
  <w:num w:numId="9">
    <w:abstractNumId w:val="17"/>
  </w:num>
  <w:num w:numId="10">
    <w:abstractNumId w:val="11"/>
  </w:num>
  <w:num w:numId="11">
    <w:abstractNumId w:val="14"/>
  </w:num>
  <w:num w:numId="12">
    <w:abstractNumId w:val="9"/>
  </w:num>
  <w:num w:numId="13">
    <w:abstractNumId w:val="12"/>
  </w:num>
  <w:num w:numId="14">
    <w:abstractNumId w:val="8"/>
  </w:num>
  <w:num w:numId="15">
    <w:abstractNumId w:val="7"/>
  </w:num>
  <w:num w:numId="16">
    <w:abstractNumId w:val="22"/>
  </w:num>
  <w:num w:numId="17">
    <w:abstractNumId w:val="20"/>
  </w:num>
  <w:num w:numId="18">
    <w:abstractNumId w:val="5"/>
  </w:num>
  <w:num w:numId="19">
    <w:abstractNumId w:val="4"/>
  </w:num>
  <w:num w:numId="20">
    <w:abstractNumId w:val="21"/>
  </w:num>
  <w:num w:numId="21">
    <w:abstractNumId w:val="18"/>
  </w:num>
  <w:num w:numId="22">
    <w:abstractNumId w:val="19"/>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1724E"/>
    <w:rsid w:val="00230760"/>
    <w:rsid w:val="00284C40"/>
    <w:rsid w:val="0051724E"/>
    <w:rsid w:val="00560C54"/>
    <w:rsid w:val="00732B5F"/>
    <w:rsid w:val="00771F24"/>
    <w:rsid w:val="008E3F63"/>
    <w:rsid w:val="009575F8"/>
    <w:rsid w:val="00AC5231"/>
    <w:rsid w:val="00B263BD"/>
    <w:rsid w:val="00D52B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172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1724E"/>
    <w:rPr>
      <w:b/>
      <w:bCs/>
    </w:rPr>
  </w:style>
  <w:style w:type="character" w:styleId="a5">
    <w:name w:val="Emphasis"/>
    <w:basedOn w:val="a0"/>
    <w:uiPriority w:val="20"/>
    <w:qFormat/>
    <w:rsid w:val="0051724E"/>
    <w:rPr>
      <w:i/>
      <w:iCs/>
    </w:rPr>
  </w:style>
  <w:style w:type="character" w:styleId="a6">
    <w:name w:val="Hyperlink"/>
    <w:basedOn w:val="a0"/>
    <w:uiPriority w:val="99"/>
    <w:semiHidden/>
    <w:unhideWhenUsed/>
    <w:rsid w:val="00B263BD"/>
    <w:rPr>
      <w:color w:val="0000FF"/>
      <w:u w:val="single"/>
    </w:rPr>
  </w:style>
</w:styles>
</file>

<file path=word/webSettings.xml><?xml version="1.0" encoding="utf-8"?>
<w:webSettings xmlns:r="http://schemas.openxmlformats.org/officeDocument/2006/relationships" xmlns:w="http://schemas.openxmlformats.org/wordprocessingml/2006/main">
  <w:divs>
    <w:div w:id="963534537">
      <w:bodyDiv w:val="1"/>
      <w:marLeft w:val="0"/>
      <w:marRight w:val="0"/>
      <w:marTop w:val="0"/>
      <w:marBottom w:val="0"/>
      <w:divBdr>
        <w:top w:val="none" w:sz="0" w:space="0" w:color="auto"/>
        <w:left w:val="none" w:sz="0" w:space="0" w:color="auto"/>
        <w:bottom w:val="none" w:sz="0" w:space="0" w:color="auto"/>
        <w:right w:val="none" w:sz="0" w:space="0" w:color="auto"/>
      </w:divBdr>
    </w:div>
    <w:div w:id="1010177620">
      <w:bodyDiv w:val="1"/>
      <w:marLeft w:val="0"/>
      <w:marRight w:val="0"/>
      <w:marTop w:val="0"/>
      <w:marBottom w:val="0"/>
      <w:divBdr>
        <w:top w:val="none" w:sz="0" w:space="0" w:color="auto"/>
        <w:left w:val="none" w:sz="0" w:space="0" w:color="auto"/>
        <w:bottom w:val="none" w:sz="0" w:space="0" w:color="auto"/>
        <w:right w:val="none" w:sz="0" w:space="0" w:color="auto"/>
      </w:divBdr>
    </w:div>
    <w:div w:id="1170755943">
      <w:bodyDiv w:val="1"/>
      <w:marLeft w:val="0"/>
      <w:marRight w:val="0"/>
      <w:marTop w:val="0"/>
      <w:marBottom w:val="0"/>
      <w:divBdr>
        <w:top w:val="none" w:sz="0" w:space="0" w:color="auto"/>
        <w:left w:val="none" w:sz="0" w:space="0" w:color="auto"/>
        <w:bottom w:val="none" w:sz="0" w:space="0" w:color="auto"/>
        <w:right w:val="none" w:sz="0" w:space="0" w:color="auto"/>
      </w:divBdr>
    </w:div>
    <w:div w:id="1517189889">
      <w:bodyDiv w:val="1"/>
      <w:marLeft w:val="0"/>
      <w:marRight w:val="0"/>
      <w:marTop w:val="0"/>
      <w:marBottom w:val="0"/>
      <w:divBdr>
        <w:top w:val="none" w:sz="0" w:space="0" w:color="auto"/>
        <w:left w:val="none" w:sz="0" w:space="0" w:color="auto"/>
        <w:bottom w:val="none" w:sz="0" w:space="0" w:color="auto"/>
        <w:right w:val="none" w:sz="0" w:space="0" w:color="auto"/>
      </w:divBdr>
    </w:div>
    <w:div w:id="17333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6588</Words>
  <Characters>37553</Characters>
  <Application>Microsoft Office Word</Application>
  <DocSecurity>0</DocSecurity>
  <Lines>312</Lines>
  <Paragraphs>88</Paragraphs>
  <ScaleCrop>false</ScaleCrop>
  <Company>SPecialiST RePack</Company>
  <LinksUpToDate>false</LinksUpToDate>
  <CharactersWithSpaces>44053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11</cp:revision>
  <dcterms:created xsi:type="dcterms:W3CDTF">2023-10-31T05:38:00Z</dcterms:created>
  <dcterms:modified xsi:type="dcterms:W3CDTF">2023-10-31T06:11:00Z</dcterms:modified>
</cp:coreProperties>
</file>