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C6" w:rsidRPr="000A67C6" w:rsidRDefault="000A67C6" w:rsidP="000A67C6">
      <w:pPr>
        <w:shd w:val="clear" w:color="auto" w:fill="EEEEEE"/>
        <w:spacing w:after="164" w:line="240" w:lineRule="auto"/>
        <w:jc w:val="center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ГОДОВОЙ ОТЧЕТ о ходе реализации и оценке эффективности муниципальной программы «РАЗВИТИЕ ИНФОРМАЦИОННОГО ОБЩЕСТВА В ПРИСТЕНСКОМ РАЙОНЕ КУРСКОЙ ОБЛАСТИ» за 2018 год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 отчетный период отделом юридического сопровождения,  муниципальных услуг, защиты информации и ИКТ Администрации Пристенского района Курской области осуществлялась реализация мероприятий в рамках муниципальной программы «Развитие информационного общества в Пристенском районе Курской области».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2018 году в муниципальную программу были внесены изменения постановлением Администрации Пристенского района Курской области от 27 декабря 2018 года №717-па «О внесении изменений в муниципальную программу Пристенского района Курской области «Развитие информационного общества в  Пристенском районе Курской области». Данные изменения были внесены в связи с внесением изменений в решение Представительного Собрания Пристенского района Курской области от «22» декабря 2017 г. № 72 "О бюджете муниципального района «Пристенский район» Курской области на 2018 год и на плановый период 2019 и 2020 годов"( с учетом внесенных изменений и дополнений), и принятия решения Представительного Собрания Пристенского района Курской области от «20» декабря 2018 г. № 6/25 "О бюджете муниципального района «Пристенский район» Курской области на 2019 год и на плановый период 2020 и 2021 годов".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Результаты реализации государственной программы, достигнутые за 2018 год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Реализация мероприятий муниципальной программы «Развитие информационного общества в Курской области» в 2018 году обеспечивает возможность формирования инфраструктуры информационного общества и электронного правительства в Пристенском районе Курской области.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Задачи муниципальной программы решаются в рамках реализации мероприятий подпрограмм: «Электронное правительство Пристенского района Курской области», «Развитие системы защиты информации в Пристенском районе Курской области»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рамках реализации мероприятий подпрограммы «Электронное правительство Пристенского района Курской области» проведены следующие работы:</w:t>
      </w:r>
    </w:p>
    <w:p w:rsidR="000A67C6" w:rsidRPr="000A67C6" w:rsidRDefault="000A67C6" w:rsidP="000A67C6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Обеспечена поддержка функционирования сети передачи данных единой информационно-коммуникационной среды органов власти Курской области</w:t>
      </w:r>
    </w:p>
    <w:p w:rsidR="000A67C6" w:rsidRPr="000A67C6" w:rsidRDefault="000A67C6" w:rsidP="000A67C6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Обеспечена поддержка функционирования системы видеоконференцсвязи</w:t>
      </w:r>
    </w:p>
    <w:p w:rsidR="000A67C6" w:rsidRPr="000A67C6" w:rsidRDefault="000A67C6" w:rsidP="000A67C6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Обеспечена поддержка функционирования региональной системы межведомственного электронного взаимодействия</w:t>
      </w:r>
    </w:p>
    <w:p w:rsidR="000A67C6" w:rsidRPr="000A67C6" w:rsidRDefault="000A67C6" w:rsidP="000A67C6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Всего в настоящее время предусмотрена возможность предоставления государственных и муниципальных услуг в электронной форме путем подачи заявок с Единого портала государственных услуг и портала государственных и муниципальных услуг Курской области.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Всего из муниципальных 24 муниципальных услуг в электронном виде оказывается 10 муниципальных услуг через ЕПГУ и РПГМУ</w:t>
      </w:r>
    </w:p>
    <w:p w:rsidR="000A67C6" w:rsidRPr="000A67C6" w:rsidRDefault="000A67C6" w:rsidP="000A67C6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итогам 2018 года на ЕПГУ зарегистрировано 90800 граждан Пристенского района Курской области, что составляет 70,8 % от числа возрастного населения Пристенского района.</w:t>
      </w:r>
    </w:p>
    <w:p w:rsidR="000A67C6" w:rsidRPr="000A67C6" w:rsidRDefault="000A67C6" w:rsidP="000A67C6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Обеспечено функционирование и заполнение официального сайта муниципального образование «Пристенский район» Курской области.</w:t>
      </w:r>
    </w:p>
    <w:p w:rsidR="000A67C6" w:rsidRPr="000A67C6" w:rsidRDefault="000A67C6" w:rsidP="000A67C6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Обеспечивается работа в системе электронного документооборота на базе АИС «Дело»</w:t>
      </w:r>
    </w:p>
    <w:p w:rsidR="000A67C6" w:rsidRPr="000A67C6" w:rsidRDefault="000A67C6" w:rsidP="000A67C6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Проведены мероприятия по информированию граждан о преимуществах получения услуг в электронном виде: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 на официальном сайте муниципального образование «Пристенский район» Курской области размещены обучающие и разъясняющие материалы, а также методические рекомендации по информированию граждан о преимуществах получения государственных услуг в электронном виде, видеоматериалы, баннер - ссылки ЕПГУ/РПГУ;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3) в ленте справочной информации муниципального образование «Пристенский район» Курской области еженедельно публикуются новости об услугах в электронном виде, работе Единого портала госуслуг;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4) созданы аккаунты в социальных сетях: «Вконтакте», «Одноклассники», на которых размещены информационные материалы о преимуществах получения государственных и муниципальных услуг в электронном виде, новых возможностях ЕПГУ и РПГУ.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5) изготовлена печатная продукция – плакаты, евробуклеты, листовки, которые переданы в структурные подразделения администрации Пристенского района Курской области, муниципальные образования Пристенского района Курской области, филиал МФЦ и размещены в местах общественного пребывания людей в  целях информирования граждан.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6) организована разъяснительная работа через местные СМИ о преимуществах получения государственных и муниципальных услуг в электронном виде.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9. Была произведена покупка и текущий ремонт вычислительной и оргтехники, покупка телекоммуникационного оборудования и программного обеспечения.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рамках реализации мероприятий подпрограммы «Развитие системы защиты информации Пристенского района Курской области» проведены следующие работы: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Были закуплены неисключительные права (лицензий) на антивирусное программное обеспечение на 55 рабочих мест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 о достижении показателей (индикаторов)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муниципальной программы Пристенского района Курской области «Развитие информационного общества в Пристенском районе Курской области»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 2018 год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36"/>
        <w:gridCol w:w="1032"/>
        <w:gridCol w:w="1104"/>
        <w:gridCol w:w="912"/>
        <w:gridCol w:w="1464"/>
      </w:tblGrid>
      <w:tr w:rsidR="000A67C6" w:rsidRPr="000A67C6" w:rsidTr="000A67C6">
        <w:trPr>
          <w:tblCellSpacing w:w="0" w:type="dxa"/>
        </w:trPr>
        <w:tc>
          <w:tcPr>
            <w:tcW w:w="36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Наименование целевого индикатора</w:t>
            </w:r>
          </w:p>
        </w:tc>
        <w:tc>
          <w:tcPr>
            <w:tcW w:w="10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Ед. измерения</w:t>
            </w:r>
          </w:p>
        </w:tc>
        <w:tc>
          <w:tcPr>
            <w:tcW w:w="20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   Значение целевого индикатора</w:t>
            </w:r>
          </w:p>
        </w:tc>
        <w:tc>
          <w:tcPr>
            <w:tcW w:w="14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Эффективность целевого индикатора, %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</w:tr>
      <w:tr w:rsidR="000A67C6" w:rsidRPr="000A67C6" w:rsidTr="000A67C6">
        <w:trPr>
          <w:tblCellSpacing w:w="0" w:type="dxa"/>
        </w:trPr>
        <w:tc>
          <w:tcPr>
            <w:tcW w:w="81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1. Цель</w:t>
            </w: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: Формирование инфраструктуры информационного общества и электронного правительства в Пристенском районе Курской области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Задача: сформировать современную информационную и телекоммуникационную инфраструктуру, на ее основе предусмотреть возможность предоставления качественных услуг и обеспечение высокого уровня доступности для населения информации и технологий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Доля граждан Пристенского района Курской области, использующих механизм получения муниципальных услуг в электронном виде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чел./ 1000 чел. населения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Доля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</w:t>
            </w: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сертифицированными средствами защиты информации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 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67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81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lastRenderedPageBreak/>
              <w:t>2. Цель</w:t>
            </w: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: Повышение эффективности функционирования экономики, муниципального управления и местного самоуправления Пристенского района Курской области за счет внедрения и массового распространения информационных и коммуникационных технологий;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Развитие единого информационного пространства органов управления Пристенского района Курской области;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Обеспечение прав граждан на свободный поиск, получение, передачу и распространение информации, увеличение эффективности оказания муниципальных услуг.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Задачи: сформировать современную информационную и телекоммуникационную инфраструктуру, на ее основе предусмотреть возможность предоставления качественных услуг и обеспечение высокого уровня доступности для населения информации и технологий;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-организовать на основе внедрения информационно-коммуникационных технологий систему принятия эффективных управленческих решений, формирования планов и прогнозов развития;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-разработать систему мониторинга показателей развития электронного правительства;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-организовать качественный, защищенный информационный межведомственный обмен в рамках предоставления муниципальных услуг;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-организовать систему доступа граждан и организаций к информации о деятельности органов местного самоуправления Пристенского района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Доля рабочих мест сотрудников Администрации Пристенского района Курской области, обеспеченных широкополосным доступом к сети Интернет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75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Использование системы электронного документооборота (СЭД) в Администрации Пристенского района Курской области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Проведение мониторинга показателей развития электронного правительства и информационного общества на территории Пристенского района Курской области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81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Цель 3</w:t>
            </w: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: 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законодательства.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Задачи: реализация муниципальной политики и требований законодательных и иных нормативных правовых актов в сфере обеспечения безопасности информации;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Пристенского района Курской области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Причина неисполнения данного показателя- недостаточный объем денежных средств</w:t>
            </w:r>
            <w:r w:rsidRPr="000A67C6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 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оснащенных сертифицированными средствами защиты информации;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информации;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65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Оснащение объектов информатизации органов местного самоуправления муниципального района «Пристенский район» Курской области антивирусным программным обеспечением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да/нет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количество специалистов органов местного самоуправления муниципального района «Пристенский район» Курской области, принявших участие в семинарах, осуществивших </w:t>
            </w: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обучение, повышение квалификации, профессиональную переподготовку в области защиты информации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%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Причина неисполнения данного показателя- </w:t>
            </w: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недостаточный объем денежных средств;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отсутствие кадров.</w:t>
            </w:r>
          </w:p>
        </w:tc>
      </w:tr>
    </w:tbl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Оценка достижения запланированных результатов составила:81.8%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 об исполнении муниципальной программы Пристенского района Курской области «Развитие информационного общества в Пристенском районе Курской области» за 2018 год</w:t>
      </w:r>
    </w:p>
    <w:tbl>
      <w:tblPr>
        <w:tblW w:w="1419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37"/>
        <w:gridCol w:w="2272"/>
        <w:gridCol w:w="2130"/>
        <w:gridCol w:w="2130"/>
        <w:gridCol w:w="1704"/>
        <w:gridCol w:w="426"/>
      </w:tblGrid>
      <w:tr w:rsidR="000A67C6" w:rsidRPr="000A67C6" w:rsidTr="000A67C6">
        <w:trPr>
          <w:trHeight w:val="744"/>
          <w:tblCellSpacing w:w="0" w:type="dxa"/>
        </w:trPr>
        <w:tc>
          <w:tcPr>
            <w:tcW w:w="1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Наименование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ЦСР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План 2018 г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Факт 2018 г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Процент исполнения расходов,  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252"/>
          <w:tblCellSpacing w:w="0" w:type="dxa"/>
        </w:trPr>
        <w:tc>
          <w:tcPr>
            <w:tcW w:w="1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3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408"/>
          <w:tblCellSpacing w:w="0" w:type="dxa"/>
        </w:trPr>
        <w:tc>
          <w:tcPr>
            <w:tcW w:w="19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Муниципальная программа "Развитие информационного общества в Пристенском районе Курской области"</w:t>
            </w:r>
          </w:p>
        </w:tc>
        <w:tc>
          <w:tcPr>
            <w:tcW w:w="8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20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1 422,468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1 326,681</w:t>
            </w:r>
          </w:p>
        </w:tc>
        <w:tc>
          <w:tcPr>
            <w:tcW w:w="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93,3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540"/>
          <w:tblCellSpacing w:w="0" w:type="dxa"/>
        </w:trPr>
        <w:tc>
          <w:tcPr>
            <w:tcW w:w="1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Подпрограмма «Электронное правительство Пристенского района Курской области"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20 1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1 388,918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1 293,261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93,1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1104"/>
          <w:tblCellSpacing w:w="0" w:type="dxa"/>
        </w:trPr>
        <w:tc>
          <w:tcPr>
            <w:tcW w:w="1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Основное мероприятие  «Осуществление мероприятий по формированию электронного правительства, обеспечение деятельности учреждений в сфере информационно-коммуникационного и технического обеспечения »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20 1 01 00000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1 067,260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996,237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93,3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852"/>
          <w:tblCellSpacing w:w="0" w:type="dxa"/>
        </w:trPr>
        <w:tc>
          <w:tcPr>
            <w:tcW w:w="1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Основное мероприятие  «Обеспечение деятельности муниципальных казенных учреждений в сфере информационно-коммуникационного и технического обеспечения"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20 1 02 00000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321,658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297,024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92,3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708"/>
          <w:tblCellSpacing w:w="0" w:type="dxa"/>
        </w:trPr>
        <w:tc>
          <w:tcPr>
            <w:tcW w:w="1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Подпрограмма «Развитие системы защиты информации Пристенского района Курской области»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20 2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33,55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33,42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99,6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216"/>
          <w:tblCellSpacing w:w="0" w:type="dxa"/>
        </w:trPr>
        <w:tc>
          <w:tcPr>
            <w:tcW w:w="1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Основное мероприятие  «Мероприятия по обеспечению безопасности в информационно-коммуникационной сфере»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20 2 01 00000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33,55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33,42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99,6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 об использовании бюджетных ассигнований бюджета муниципального района «Пристенский район» в разрезе средств бюджетов различных уровней и разделов бюджетной классификации расходов на реализацию муниципальной программы «Развитие информационного общества в Пристенском районе Курской области»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2018 году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734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91"/>
        <w:gridCol w:w="1142"/>
        <w:gridCol w:w="1128"/>
        <w:gridCol w:w="1058"/>
        <w:gridCol w:w="851"/>
        <w:gridCol w:w="858"/>
        <w:gridCol w:w="114"/>
      </w:tblGrid>
      <w:tr w:rsidR="000A67C6" w:rsidRPr="000A67C6" w:rsidTr="000A67C6">
        <w:trPr>
          <w:trHeight w:val="948"/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Функциональная классификация расходов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Предусмотрено решением о бюджете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Кассовое исполнение (факт) за отчетный год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Процент исполнения расходов,  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252"/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708"/>
          <w:tblCellSpacing w:w="0" w:type="dxa"/>
        </w:trPr>
        <w:tc>
          <w:tcPr>
            <w:tcW w:w="30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lastRenderedPageBreak/>
              <w:t>Муниципальная программа "Развитие информационного общества в Пристенском районе Курской области"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1 422,5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1 422,5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1 326,7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93,3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420"/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i/>
                <w:iCs/>
                <w:sz w:val="13"/>
                <w:lang w:eastAsia="ru-RU"/>
              </w:rPr>
              <w:t>- средства местного бюджета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1 422,5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1 422,5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1 326,7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93,3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552"/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т.ч. в разрезе  разделов, подраздела бюджетной классификации расходов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780"/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0104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740,8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740,8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677,9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91,5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672"/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0106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360,0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97,7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7C6" w:rsidRPr="000A67C6" w:rsidTr="000A67C6">
        <w:trPr>
          <w:trHeight w:val="564"/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Другие общегосударственные вопросы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0113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321,7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321,7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297,0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92,3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Степень выполнения мероприятий муниципальной программы «Развитие информационного общества в Пристенском районе Курской области» за 2018г.</w:t>
      </w:r>
    </w:p>
    <w:tbl>
      <w:tblPr>
        <w:tblW w:w="7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0"/>
        <w:gridCol w:w="1574"/>
        <w:gridCol w:w="1251"/>
        <w:gridCol w:w="1019"/>
      </w:tblGrid>
      <w:tr w:rsidR="000A67C6" w:rsidRPr="000A67C6" w:rsidTr="000A67C6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Основные мероприятия Программы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Запланировано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Выполнено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выполнения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Проведение работ по инвентаризации информационных систем с целью определения сведений, участвующих в процессе предоставления муниципальных услуг в Пристенском районе Курской области</w:t>
            </w: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Разработка мероприятия по обеспечению информационной безопасности электронного правительства в Пристенском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«Пристенский район» Курской области</w:t>
            </w: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Оснащение объектов информатизации, обрабатывающих информацию с ограниченным доступом, органов местного самоуправления муниципального района «Пристенский </w:t>
            </w: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район» сертифицированными программными и аппаратными средствами защиты информации, а также средствами обработки информации с ограниченным доступом.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Повышение квалификации, профессиональная переподготовка специалистов органов местного самоуправления муниципального района «Пристенский район» Курской области в сфере защиты информации</w:t>
            </w: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</w:tr>
      <w:tr w:rsidR="000A67C6" w:rsidRPr="000A67C6" w:rsidTr="000A67C6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67C6" w:rsidRPr="000A67C6" w:rsidRDefault="000A67C6" w:rsidP="000A6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0A67C6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 </w:t>
            </w:r>
          </w:p>
        </w:tc>
      </w:tr>
    </w:tbl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Степень выполнения мероприятий Программы составляет 80%.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ОЦЕНКА ЭФФЕКТИВНОСТИ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муниципальной программы «Развитие информационного общества в Пристенском районе Курской области» за 2018г.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Оценка степени реализации мероприятий муниципальной программы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СРм=Мв/М,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 Мв – количество мероприятий, выполненных в полном объеме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 – общее количество мероприятий, запланированных к реализации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СРм=4/5=0,8 (80%)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Оценка степени соответствия запланированному уровню затрат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ССуз=Зф/Зп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 Зф – фактические расходы на реализацию программы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Зп – плановые расходы на реализацию программы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ССуз=1 326,681/1 422,468=0,93 (93,3%)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Оценка эффективности использования средств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бюджета муниципального района «Пристенский район» Курской области.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ис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= СР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м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/ СС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уз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ис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эффективность использования средств бюджета;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м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реализации мероприятий, полностью или частично финансируемых из средств бюджета;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СС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уз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соответствия запланированному уровню расходов из средств  бюджета.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Эис=0,8/0,93=0,86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Оценка степени достижения целей и решения задач муниципальной программы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СДп/ппз=ЗПп/пФ/ЗПп/пп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 ЗПп/пФ – значение показателя, фактически достигнутое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ЗП п/пп – плановое значение показателя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СДп/ппз=(7/7+67/67+75/75+1/1+1/1+100/100+0/50+100/100+65/65+1/1+0/4)/11=(1+1+1+1+1+1+0+1+1+1+0)/11=9/11=0,82 (81,8%)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Степень реализации муниципальной программы рассчитывается по формуле: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реализации муниципальной программы;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СД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гппз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М - число показателей (индикаторов), характеризующих цели и задачи подпрограммы.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 использовании данной формулы, в случае если СД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гппз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больше 1, значение СД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гппз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принимается равным 1.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-=0,818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Оценка эффективности реализации муниципальной  программы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ЭР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эффективность реализации муниципальной программы;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степень реализации муниципальной программы;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ЭР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п/п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эффективность реализации подпрограммы;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k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j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j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определяется по формуле: kj = Фj / Ф, где Ф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j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j - количество подпрограмм.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ЭР</w:t>
      </w:r>
      <w:r w:rsidRPr="000A67C6">
        <w:rPr>
          <w:rFonts w:ascii="Tahoma" w:eastAsia="Times New Roman" w:hAnsi="Tahoma" w:cs="Tahoma"/>
          <w:color w:val="000000"/>
          <w:sz w:val="13"/>
          <w:szCs w:val="13"/>
          <w:vertAlign w:val="subscript"/>
          <w:lang w:eastAsia="ru-RU"/>
        </w:rPr>
        <w:t>гп =  </w:t>
      </w: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0,5*0,818+ 0,5((1*(1326,681/1422,468)+1*(1326,681/1422,468))=0,87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Эффективность реализации муниципальной программы признается средней, в случае если значение  составляет не менее 0,80.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Оценка эффективности реализации муниципальной  программы за 2018 год составляет 0,87 и признается средней.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67C6" w:rsidRPr="000A67C6" w:rsidRDefault="000A67C6" w:rsidP="000A67C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67C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Вывод: продолжить реализацию мероприятий муниципальной программы «Развитие информационного общества в Пристенском районе Курской области» в 2019 году</w:t>
      </w:r>
    </w:p>
    <w:p w:rsidR="00560C54" w:rsidRPr="000A67C6" w:rsidRDefault="00560C54" w:rsidP="000A67C6"/>
    <w:sectPr w:rsidR="00560C54" w:rsidRPr="000A67C6" w:rsidSect="00FE6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EC0"/>
    <w:multiLevelType w:val="multilevel"/>
    <w:tmpl w:val="B1C4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37764"/>
    <w:multiLevelType w:val="multilevel"/>
    <w:tmpl w:val="1730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D61"/>
    <w:multiLevelType w:val="multilevel"/>
    <w:tmpl w:val="0A24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F7251"/>
    <w:multiLevelType w:val="multilevel"/>
    <w:tmpl w:val="D088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B1FFB"/>
    <w:multiLevelType w:val="multilevel"/>
    <w:tmpl w:val="0C48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C13E9"/>
    <w:multiLevelType w:val="multilevel"/>
    <w:tmpl w:val="1B7CB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D5B87"/>
    <w:multiLevelType w:val="multilevel"/>
    <w:tmpl w:val="4976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E7076"/>
    <w:multiLevelType w:val="multilevel"/>
    <w:tmpl w:val="7A98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90542"/>
    <w:multiLevelType w:val="multilevel"/>
    <w:tmpl w:val="EFC8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247F6"/>
    <w:multiLevelType w:val="multilevel"/>
    <w:tmpl w:val="CE9E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F7213"/>
    <w:multiLevelType w:val="multilevel"/>
    <w:tmpl w:val="13BC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A052E"/>
    <w:multiLevelType w:val="multilevel"/>
    <w:tmpl w:val="B31E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BA5E32"/>
    <w:multiLevelType w:val="multilevel"/>
    <w:tmpl w:val="FC04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43880"/>
    <w:multiLevelType w:val="multilevel"/>
    <w:tmpl w:val="7E60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E7D2E"/>
    <w:multiLevelType w:val="multilevel"/>
    <w:tmpl w:val="3F88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42B76"/>
    <w:multiLevelType w:val="multilevel"/>
    <w:tmpl w:val="13C6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977D2"/>
    <w:multiLevelType w:val="multilevel"/>
    <w:tmpl w:val="041A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136070"/>
    <w:multiLevelType w:val="multilevel"/>
    <w:tmpl w:val="F4A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7F4EE0"/>
    <w:multiLevelType w:val="multilevel"/>
    <w:tmpl w:val="39F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A71B3E"/>
    <w:multiLevelType w:val="multilevel"/>
    <w:tmpl w:val="B1CC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E5FE4"/>
    <w:multiLevelType w:val="multilevel"/>
    <w:tmpl w:val="FDFE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99510E"/>
    <w:multiLevelType w:val="multilevel"/>
    <w:tmpl w:val="B55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13C06"/>
    <w:multiLevelType w:val="multilevel"/>
    <w:tmpl w:val="08A4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5D3993"/>
    <w:multiLevelType w:val="multilevel"/>
    <w:tmpl w:val="EBC8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F4CC6"/>
    <w:multiLevelType w:val="multilevel"/>
    <w:tmpl w:val="314E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873C86"/>
    <w:multiLevelType w:val="multilevel"/>
    <w:tmpl w:val="5324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AF41FC"/>
    <w:multiLevelType w:val="multilevel"/>
    <w:tmpl w:val="37EC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B512AE"/>
    <w:multiLevelType w:val="multilevel"/>
    <w:tmpl w:val="7C9A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DE20C9"/>
    <w:multiLevelType w:val="multilevel"/>
    <w:tmpl w:val="0110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442A2A"/>
    <w:multiLevelType w:val="multilevel"/>
    <w:tmpl w:val="8626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86D0E"/>
    <w:multiLevelType w:val="multilevel"/>
    <w:tmpl w:val="1BBAF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0"/>
  </w:num>
  <w:num w:numId="5">
    <w:abstractNumId w:val="18"/>
  </w:num>
  <w:num w:numId="6">
    <w:abstractNumId w:val="21"/>
  </w:num>
  <w:num w:numId="7">
    <w:abstractNumId w:val="1"/>
  </w:num>
  <w:num w:numId="8">
    <w:abstractNumId w:val="15"/>
  </w:num>
  <w:num w:numId="9">
    <w:abstractNumId w:val="23"/>
  </w:num>
  <w:num w:numId="10">
    <w:abstractNumId w:val="16"/>
  </w:num>
  <w:num w:numId="11">
    <w:abstractNumId w:val="19"/>
  </w:num>
  <w:num w:numId="12">
    <w:abstractNumId w:val="14"/>
  </w:num>
  <w:num w:numId="13">
    <w:abstractNumId w:val="17"/>
  </w:num>
  <w:num w:numId="14">
    <w:abstractNumId w:val="12"/>
  </w:num>
  <w:num w:numId="15">
    <w:abstractNumId w:val="11"/>
  </w:num>
  <w:num w:numId="16">
    <w:abstractNumId w:val="30"/>
  </w:num>
  <w:num w:numId="17">
    <w:abstractNumId w:val="27"/>
  </w:num>
  <w:num w:numId="18">
    <w:abstractNumId w:val="8"/>
  </w:num>
  <w:num w:numId="19">
    <w:abstractNumId w:val="7"/>
  </w:num>
  <w:num w:numId="20">
    <w:abstractNumId w:val="29"/>
  </w:num>
  <w:num w:numId="21">
    <w:abstractNumId w:val="24"/>
  </w:num>
  <w:num w:numId="22">
    <w:abstractNumId w:val="25"/>
  </w:num>
  <w:num w:numId="23">
    <w:abstractNumId w:val="5"/>
  </w:num>
  <w:num w:numId="24">
    <w:abstractNumId w:val="3"/>
  </w:num>
  <w:num w:numId="25">
    <w:abstractNumId w:val="2"/>
  </w:num>
  <w:num w:numId="26">
    <w:abstractNumId w:val="28"/>
  </w:num>
  <w:num w:numId="27">
    <w:abstractNumId w:val="6"/>
  </w:num>
  <w:num w:numId="28">
    <w:abstractNumId w:val="10"/>
  </w:num>
  <w:num w:numId="29">
    <w:abstractNumId w:val="26"/>
  </w:num>
  <w:num w:numId="30">
    <w:abstractNumId w:val="1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51724E"/>
    <w:rsid w:val="00060567"/>
    <w:rsid w:val="000A67C6"/>
    <w:rsid w:val="00193273"/>
    <w:rsid w:val="001D03F7"/>
    <w:rsid w:val="00230760"/>
    <w:rsid w:val="00284C40"/>
    <w:rsid w:val="00377AF2"/>
    <w:rsid w:val="0051724E"/>
    <w:rsid w:val="00560C54"/>
    <w:rsid w:val="007257E4"/>
    <w:rsid w:val="00732B5F"/>
    <w:rsid w:val="00771F24"/>
    <w:rsid w:val="007B1BA2"/>
    <w:rsid w:val="008E3F63"/>
    <w:rsid w:val="009575F8"/>
    <w:rsid w:val="00AC5231"/>
    <w:rsid w:val="00AC7BF9"/>
    <w:rsid w:val="00B263BD"/>
    <w:rsid w:val="00BC1870"/>
    <w:rsid w:val="00C3516E"/>
    <w:rsid w:val="00CA4528"/>
    <w:rsid w:val="00CF0EAE"/>
    <w:rsid w:val="00D52BBF"/>
    <w:rsid w:val="00DE51BA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DE51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5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25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7257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24E"/>
    <w:rPr>
      <w:b/>
      <w:bCs/>
    </w:rPr>
  </w:style>
  <w:style w:type="character" w:styleId="a5">
    <w:name w:val="Emphasis"/>
    <w:basedOn w:val="a0"/>
    <w:uiPriority w:val="20"/>
    <w:qFormat/>
    <w:rsid w:val="0051724E"/>
    <w:rPr>
      <w:i/>
      <w:iCs/>
    </w:rPr>
  </w:style>
  <w:style w:type="character" w:styleId="a6">
    <w:name w:val="Hyperlink"/>
    <w:basedOn w:val="a0"/>
    <w:uiPriority w:val="99"/>
    <w:semiHidden/>
    <w:unhideWhenUsed/>
    <w:rsid w:val="00B263B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E690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DE5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51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5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7257E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81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2598</Words>
  <Characters>14813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2023-10-31T05:38:00Z</dcterms:created>
  <dcterms:modified xsi:type="dcterms:W3CDTF">2023-10-31T09:09:00Z</dcterms:modified>
</cp:coreProperties>
</file>