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Проект распоряжения Администрации Пристенского района «Об одобрении прогноза основных показателей социально-экономического развития Пристенского района Курской области на 2022 год и на плановый период 2023-2024 годов»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Вид документа, нормативно-правового акта: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Распоряжение Администрации Пристенского района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Структурное подразделение-автор:</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Управление финансов и экономического развития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Администрации Пристенского района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Дата начала обсуждения: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28.09.2021</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Дата окончания обсуждения: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18.10.2021</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bl>
      <w:tblPr>
        <w:tblW w:w="7505" w:type="dxa"/>
        <w:tblCellSpacing w:w="0" w:type="dxa"/>
        <w:shd w:val="clear" w:color="auto" w:fill="EEEEEE"/>
        <w:tblCellMar>
          <w:left w:w="0" w:type="dxa"/>
          <w:right w:w="0" w:type="dxa"/>
        </w:tblCellMar>
        <w:tblLook w:val="04A0"/>
      </w:tblPr>
      <w:tblGrid>
        <w:gridCol w:w="7505"/>
      </w:tblGrid>
      <w:tr w:rsidR="005522B0" w:rsidRPr="005522B0" w:rsidTr="005522B0">
        <w:trPr>
          <w:tblCellSpacing w:w="0" w:type="dxa"/>
        </w:trPr>
        <w:tc>
          <w:tcPr>
            <w:tcW w:w="82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АДМИНИСТРАЦИЯ</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ПРИСТЕНСКОГО РАЙОНА КУРСКОЙ ОБЛАСТИ</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РАСПОРЯЖЕНИЕ</w:t>
            </w:r>
            <w:r w:rsidRPr="005522B0">
              <w:rPr>
                <w:rFonts w:ascii="Tahoma" w:eastAsia="Times New Roman" w:hAnsi="Tahoma" w:cs="Tahoma"/>
                <w:b/>
                <w:bCs/>
                <w:color w:val="000000"/>
                <w:sz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Об одобрении  прогноза</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основных показателей</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социально-экономического</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развития Пристенского района</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Курской области на 2022 год</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и на плановый период 2023-2024 годов</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bl>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соответствии  со ст. 173 Бюджетного кодекса Российской Федерации Администрация Пристенского района Курской области ПОСТАНОВЛЯЕТ:</w:t>
      </w:r>
    </w:p>
    <w:p w:rsidR="005522B0" w:rsidRPr="005522B0" w:rsidRDefault="005522B0" w:rsidP="005522B0">
      <w:pPr>
        <w:numPr>
          <w:ilvl w:val="0"/>
          <w:numId w:val="8"/>
        </w:numPr>
        <w:shd w:val="clear" w:color="auto" w:fill="EEEEEE"/>
        <w:spacing w:after="0" w:line="240" w:lineRule="auto"/>
        <w:ind w:left="0"/>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Одобрить прилагаемый прогноз основных показателей социально-экономического развития  Пристенского района Курской области на 2022 год и на плановый период 2023-2024 годов, согласованный с отраслевыми органами исполнительной власти Курской области (Приложение №1).</w:t>
      </w:r>
    </w:p>
    <w:p w:rsidR="005522B0" w:rsidRPr="005522B0" w:rsidRDefault="005522B0" w:rsidP="005522B0">
      <w:pPr>
        <w:numPr>
          <w:ilvl w:val="0"/>
          <w:numId w:val="8"/>
        </w:numPr>
        <w:shd w:val="clear" w:color="auto" w:fill="EEEEEE"/>
        <w:spacing w:after="0" w:line="240" w:lineRule="auto"/>
        <w:ind w:left="0"/>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Распоряжение вступает в силу со дня его подписания и распространяет свое действие на правоотношения, возникшие с 1 января 2022 года.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Глава Пристенского района</w:t>
      </w:r>
    </w:p>
    <w:p w:rsidR="005522B0" w:rsidRPr="005522B0" w:rsidRDefault="005522B0" w:rsidP="005522B0">
      <w:pPr>
        <w:shd w:val="clear" w:color="auto" w:fill="EEEEEE"/>
        <w:spacing w:after="0" w:line="240" w:lineRule="auto"/>
        <w:outlineLvl w:val="5"/>
        <w:rPr>
          <w:rFonts w:ascii="Tahoma" w:eastAsia="Times New Roman" w:hAnsi="Tahoma" w:cs="Tahoma"/>
          <w:b/>
          <w:bCs/>
          <w:color w:val="000000"/>
          <w:sz w:val="15"/>
          <w:szCs w:val="15"/>
          <w:lang w:eastAsia="ru-RU"/>
        </w:rPr>
      </w:pPr>
      <w:r w:rsidRPr="005522B0">
        <w:rPr>
          <w:rFonts w:ascii="Tahoma" w:eastAsia="Times New Roman" w:hAnsi="Tahoma" w:cs="Tahoma"/>
          <w:b/>
          <w:bCs/>
          <w:color w:val="000000"/>
          <w:sz w:val="15"/>
          <w:szCs w:val="15"/>
          <w:lang w:eastAsia="ru-RU"/>
        </w:rPr>
        <w:t>Курской области                                                                                                       В.В.Петров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244"/>
        <w:gridCol w:w="4428"/>
        <w:gridCol w:w="5160"/>
      </w:tblGrid>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Вид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Распоряжение Администрации Пристенского района</w:t>
            </w:r>
          </w:p>
        </w:tc>
      </w:tr>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Наименование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 одобрении прогноза основных показателей социально-экономического развития Пристенского района Курской области на 2022 год и на плановый период 2023 - 2024 годов</w:t>
            </w:r>
          </w:p>
        </w:tc>
      </w:tr>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Планируемый срок вступления в силу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Вступает в силу со дня его подписания</w:t>
            </w:r>
          </w:p>
        </w:tc>
      </w:tr>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Разработчик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Управление финансов и экономического развития Администрации Пристенского района Курской области</w:t>
            </w:r>
          </w:p>
        </w:tc>
      </w:tr>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Срок приёма предложений</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15 календарных дней, со дня размещения на официальном сайте муниципального образования "Пристенский район"</w:t>
            </w:r>
          </w:p>
        </w:tc>
      </w:tr>
      <w:tr w:rsidR="005522B0" w:rsidRPr="005522B0" w:rsidTr="005522B0">
        <w:trPr>
          <w:tblCellSpacing w:w="0" w:type="dxa"/>
        </w:trPr>
        <w:tc>
          <w:tcPr>
            <w:tcW w:w="22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6.        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44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Способ предоставления предложений</w:t>
            </w:r>
          </w:p>
        </w:tc>
        <w:tc>
          <w:tcPr>
            <w:tcW w:w="5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письменной форме по адресу: 306200, Курская область, Пристенский район, п. Пристень, ул. Ленина, д. 5, каб.304</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посредством электронной почты: pristen_eko@mail.ru</w:t>
            </w:r>
          </w:p>
        </w:tc>
      </w:tr>
    </w:tbl>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Прикреплённый файл:  приложение №1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Приложение №1</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к распоряжению Администрации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Пристенского района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____ от _______ 2021 г.</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Основные показатели социально-экономического развития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Пристенского района Курской области на 2022 год</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и на плановый период 2023-2024 годов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bl>
      <w:tblPr>
        <w:tblW w:w="11422"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577"/>
        <w:gridCol w:w="779"/>
        <w:gridCol w:w="1018"/>
        <w:gridCol w:w="1009"/>
        <w:gridCol w:w="1029"/>
        <w:gridCol w:w="942"/>
        <w:gridCol w:w="1029"/>
        <w:gridCol w:w="942"/>
        <w:gridCol w:w="930"/>
        <w:gridCol w:w="1018"/>
        <w:gridCol w:w="149"/>
      </w:tblGrid>
      <w:tr w:rsidR="005522B0" w:rsidRPr="005522B0" w:rsidTr="005522B0">
        <w:trPr>
          <w:trHeight w:val="288"/>
          <w:tblHeader/>
          <w:tblCellSpacing w:w="0" w:type="dxa"/>
        </w:trPr>
        <w:tc>
          <w:tcPr>
            <w:tcW w:w="291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Наименование показателя</w:t>
            </w:r>
          </w:p>
        </w:tc>
        <w:tc>
          <w:tcPr>
            <w:tcW w:w="91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color w:val="FFFFFF"/>
                <w:sz w:val="13"/>
                <w:szCs w:val="13"/>
                <w:lang w:eastAsia="ru-RU"/>
              </w:rPr>
              <w:t>Ед. изм.</w:t>
            </w:r>
          </w:p>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 </w:t>
            </w:r>
          </w:p>
        </w:tc>
        <w:tc>
          <w:tcPr>
            <w:tcW w:w="114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color w:val="FFFFFF"/>
                <w:sz w:val="13"/>
                <w:szCs w:val="13"/>
                <w:lang w:eastAsia="ru-RU"/>
              </w:rPr>
              <w:t>2020 г. отчет</w:t>
            </w:r>
          </w:p>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 </w:t>
            </w:r>
          </w:p>
        </w:tc>
        <w:tc>
          <w:tcPr>
            <w:tcW w:w="112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color w:val="FFFFFF"/>
                <w:sz w:val="13"/>
                <w:szCs w:val="13"/>
                <w:lang w:eastAsia="ru-RU"/>
              </w:rPr>
              <w:t>2021 г. оценка</w:t>
            </w:r>
          </w:p>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 </w:t>
            </w:r>
          </w:p>
        </w:tc>
        <w:tc>
          <w:tcPr>
            <w:tcW w:w="6468" w:type="dxa"/>
            <w:gridSpan w:val="6"/>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color w:val="FFFFFF"/>
                <w:sz w:val="13"/>
                <w:szCs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r>
      <w:tr w:rsidR="005522B0" w:rsidRPr="005522B0" w:rsidTr="005522B0">
        <w:trPr>
          <w:trHeight w:val="192"/>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646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Прогноз</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r>
      <w:tr w:rsidR="005522B0" w:rsidRPr="005522B0" w:rsidTr="005522B0">
        <w:trPr>
          <w:trHeight w:val="192"/>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328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Консервативный вариант</w:t>
            </w:r>
          </w:p>
        </w:tc>
        <w:tc>
          <w:tcPr>
            <w:tcW w:w="318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Базовый вариант</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r>
      <w:tr w:rsidR="005522B0" w:rsidRPr="005522B0" w:rsidTr="005522B0">
        <w:trPr>
          <w:trHeight w:val="384"/>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2022 г.</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2023 г.</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2024 г.</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2022 г.</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2023 г.</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FFFFFF"/>
                <w:sz w:val="13"/>
                <w:szCs w:val="13"/>
                <w:lang w:eastAsia="ru-RU"/>
              </w:rPr>
            </w:pPr>
            <w:r w:rsidRPr="005522B0">
              <w:rPr>
                <w:rFonts w:ascii="Tahoma" w:eastAsia="Times New Roman" w:hAnsi="Tahoma" w:cs="Tahoma"/>
                <w:b/>
                <w:bCs/>
                <w:color w:val="FFFFFF"/>
                <w:sz w:val="13"/>
                <w:lang w:eastAsia="ru-RU"/>
              </w:rPr>
              <w:t>2024 г.</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FFFFFF"/>
                <w:sz w:val="13"/>
                <w:szCs w:val="13"/>
                <w:lang w:eastAsia="ru-RU"/>
              </w:rPr>
            </w:pP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Объем отгруженных товаров собственного производства, выполненных работ и услуг в ценах соответствующих лет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1027364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1155232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1224624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1312790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1412139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1228390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1319486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1427700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промышленного производства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268,0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103,8</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в том числе по видам экономической деятельности: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Обрабатывающие производства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1005713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1132738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1201229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1288459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1386835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1204995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1295155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1402396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промышленного производства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277,8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103,9</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Обеспечение электрической энергией, газом и паром; кондиционирование воздуха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10299</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10711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11140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11586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12049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11140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11586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12049</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промышленного производства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Водоснабжение; водоотведение, организация сбора и утилизации отходов, деятельность по ликвидации загрязнений</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11352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11783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12255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12745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13255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12255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12745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13255</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промышленного производства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Выручка от реализации сельскохозяйственной продукции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млн.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17608,0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18335,5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18873,9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19663,1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20551,4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18951,1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19739,6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20612,6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lastRenderedPageBreak/>
              <w:t>Производство сельскохозяйственной продукции в сельхозпредприятиях:</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в том числе:</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Зерно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270,6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235,3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274,0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276,4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279,4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277,0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278,4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281,4</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Сахарная свекла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43,3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48,6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49,3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48,6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49,3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Подсолнечник</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26,3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19,6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24,1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24,4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24,7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24,1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24,4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24,7</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rHeight w:val="528"/>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Картофель</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9,2</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000000"/>
                <w:sz w:val="13"/>
                <w:szCs w:val="13"/>
                <w:lang w:eastAsia="ru-RU"/>
              </w:rPr>
            </w:pP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Соя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34,2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38,7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38,3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38,5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38,3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38,5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39,0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КРС</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214,7</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232,5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253,2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268,6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292,0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253,2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268,6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292,0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Свиньи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113,2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113,2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113,3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113,9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113,3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113,9</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Овцы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69,6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72,0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75,5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78,8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81,0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75,5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78,8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81,0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Птица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118,0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118,0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118,0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118,0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Молоко</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4474,2</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4545,0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4609,0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4657,0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4720,0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4609,0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4657,0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4720,0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Инвестиции в основной капитал</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Объем инвестиций в основной капитал</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382707</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809744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130154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101108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42530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131004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101558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359713</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физического объема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22,5</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201,32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15,25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73,63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39,87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15,36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73,48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335,41</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i/>
                <w:iCs/>
                <w:color w:val="000000"/>
                <w:sz w:val="13"/>
                <w:lang w:eastAsia="ru-RU"/>
              </w:rPr>
              <w:t>в том числе:</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Объем инвестиций в основной капитал (за исключением бюджетных средств)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179618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558256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30175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30690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30810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31025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31140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31210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физического объема инвестиций в основной капитал (за исключением бюджетных средств)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11,9</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295,72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5,13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96,4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95,16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5,28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95,14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94,91</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Финансовый результат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Прибыль (+), убыток (-), всего по району</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млн.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5577,5</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5913,7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6209,4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6516,6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6842,4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6249,1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6632,5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7030,4</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т.ч.:</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Прибыль</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млн.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5580,6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5913,7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6209,4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6516,6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6842,4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6249,1</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6632,5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7030,4</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Убыток</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млн.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3,1</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0</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Оборот розничной торговли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411914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439331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460545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484206,9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509100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461508,9</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486700,4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514267,1</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физического объема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115,5</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101,0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101,6</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Оборот общественного питания</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7274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7881,8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8451,2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9105,7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9820,3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8467,7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9132,2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9858,4</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физического объема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118,8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103,0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103,6</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103,7</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103,5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103,7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103,8</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Объем платных услуг населению</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тыс.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96355,6</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100420,4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104766,6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109840,7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115385,6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105583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111447,7</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117757,3</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индекс физического объема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92,4</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100,5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100,8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101,2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101,3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101,3</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101,5</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r w:rsidRPr="005522B0">
              <w:rPr>
                <w:rFonts w:ascii="Tahoma" w:eastAsia="Times New Roman" w:hAnsi="Tahoma" w:cs="Tahoma"/>
                <w:b/>
                <w:bCs/>
                <w:color w:val="000000"/>
                <w:sz w:val="13"/>
                <w:lang w:eastAsia="ru-RU"/>
              </w:rPr>
              <w:t>Фонд заработной платы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млн.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1305,3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1386,0</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1463,6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1554,4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1655,4</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1473,3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1573,8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1685,1</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rHeight w:val="456"/>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темп роста (снижения) к предыдущему периоду</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111,8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106,2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105,6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106,2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106,5</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106,3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106,8</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107,1</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rPr>
                <w:rFonts w:ascii="Tahoma" w:eastAsia="Times New Roman" w:hAnsi="Tahoma" w:cs="Tahoma"/>
                <w:color w:val="000000"/>
                <w:sz w:val="13"/>
                <w:szCs w:val="13"/>
                <w:lang w:eastAsia="ru-RU"/>
              </w:rPr>
            </w:pP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Численность работников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чел.</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3278</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3281</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3278</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3274</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3270</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3282</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3282</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3282</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r w:rsidR="005522B0" w:rsidRPr="005522B0" w:rsidTr="005522B0">
        <w:trPr>
          <w:tblCellSpacing w:w="0" w:type="dxa"/>
        </w:trPr>
        <w:tc>
          <w:tcPr>
            <w:tcW w:w="2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Среднемесячная заработная плата работников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33183,3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35202,9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37208,3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39563,5</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42186,6</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37409,3</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39960,9</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42785,7</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5522B0" w:rsidRPr="005522B0" w:rsidRDefault="005522B0" w:rsidP="005522B0">
            <w:pPr>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tc>
      </w:tr>
    </w:tbl>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ПОЯСНИТЕЛЬНАЯ ЗАПИСКА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К ПРОГНОЗУ СОЦИАЛЬНО-ЭКОНОМИЧЕСКОГО РАЗВИТИЯ ПРИСТЕНСКОГО РАЙОНА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НА  2022 ГОД И ПЛАНОВЫЙ ПЕРИОД 2023 – 2024 ГОДОВ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Прогноз социально-экономического развития Пристенского района Курской области на 2022 год и плановый период 2023 и 2024 годов (далее – прогноз) разработан в соответствии с Федеральным законом Российской Федерации от 28 июня 2014 года № 172</w:t>
      </w:r>
      <w:r w:rsidRPr="005522B0">
        <w:rPr>
          <w:rFonts w:ascii="Tahoma" w:eastAsia="Times New Roman" w:hAnsi="Tahoma" w:cs="Tahoma"/>
          <w:color w:val="000000"/>
          <w:sz w:val="13"/>
          <w:szCs w:val="13"/>
          <w:lang w:eastAsia="ru-RU"/>
        </w:rPr>
        <w:noBreakHyphen/>
        <w:t>ФЗ «О стратегическом планировании в Российской Федерации», на основе предложений участников разработки прогноза социально-экономического развития Пристенского района Курской области, с учетом основных показателей прогноза социально-экономического развития муниципальных образований Пристенского района Курской области на 2022 год и на плановый период 2023 и 2024 годов (в базовом и консервативном вариантах), отражающих динамику развития Пристенского района Курской области за предыдущие годы, ожидаемые итоги социально-экономического развития  Пристенского района Курской области за 2021 год,  с согласованием показателей Прогноза комитетом по экономике и развитию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При подготовке основных параметров прогноза были использованы данные государственной статистики, органов исполнительной власти Курской области, органов местного самоуправления, предприятий и организаций.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При уточнении показателей Прогноза использованы индексы-дефляторы, разработанные Министерством экономического развития Российской Федерации и доведенные комитетом по экономике и развитию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Обзор основных разделов Прогноза приведен ниже.</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Промышленность</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Объем отгруженных товаров собственного производства, выполненных работ и услуг в 2020 году в целом по району составил 1027,4 млн. руб.  Индекс промышленного производства составил 268,0%. Рост связан с увеличением объемов производства мясокостной муки, а также расширения производства высококачественных кормов для домашних животных ЗАО «СК «Короча»» за счет увеличения объема мощностей данного предприятия.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По оценке 2021 года объем отгруженных товаров собственного производства, выполненных работ и услуг  составит 1155,2 млн. руб. Рост объема связан с дальнейшим ростом производства пищевой и перерабатывающей продукции.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базисном варианте в 2022 – 2024 годах  прогнозируется рост объема отгруженных товаров собственного производства, выполненных работ и услуг.</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консервативном варианте рассматривается развитие экономики в условиях более низкой динамики цен на нефть и природный газ, поэтому прогнозируется снижение объема отгруженных товаров собственного производства, выполненных работ и услуг.</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Предприятия, осуществляющие промышленные виды деятельности,   расположены на территории  трех муниципальных образований: п. Пристень (издательская и полиграфическая деятельность, обработка отходов и лома черных металлов, производство и распределение теплоэнергии и воды), п. Кировский (производство теплоэнергии, производство пищевой и перерабатывающей промышленности), и Бобрышевский сельсовет (производство теплоэнергии).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Сельское хозяйство.</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На территории Пристенского  района находятся 10 сельских и городских поселений и одно муниципальное образование Пристенский район. За истекший 2020 год сельхозпроизводителями района было реализовано сельскохозяйственной  продукции  на сумму  17607987 тыс.рублей,  что составляет 115 % от уровня 2019 года. Объемы производства сельскохозяйственной продукции увеличились как в растениеводстве так и животноводстве. Увеличение выручки произошло из-за роста цен  цен на продукцию растениеводства, в частности по зерну на 10%, сахарная свекла в 2 раза, подсолнечник на 43 % и соя на 27 %. Выручка от реализации продукции растениеводстве за 2020 год составила 6834092 и увеличилась на 55% в сравнении с прошлым годом.Продукции животноводства реализовано на сумму 10800702 тыс. рублей, это практически на уровне 2019 года. Себестоимость реализованной продукции увеличилась на 11 % в сравнении с 2019 годом и составила 11853308 тыс. рублей. Рентабельность производства на уровне 56 %. За 2020 год сельхозпредприятиями района получено прибыли на сумму 6690655 тыс. рублей, на 29% больше чем в 2019 году.</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из-за неблагоприятных погодных условий озимые культуры погибли на площади 11870 га. поэтому планируется снижение  производства и реализации зерновых культур на 13 %. Увеличены посевы сахарной свеклы, яровой пшеницы, ячменя, кукурузы на зерно и сои. Яровыми культурами необходимо было пересеять озимый клин.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Доля в объеме общей выручки от животноводства более 63%  . В растениеводстве хозяйства района  при составлении структуры посевных площадей руководствуются не только грамотными  севооборотами полей, но и рыночным спросом и ценой на продукцию. Поэтому последние года сельхозпредприятия района увеличивают посевы зерновых (в частности кукурузы на зерно) и сои.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в районе планируется снижение производства сельскохозяйственной продукции и выручки сельхозпредприятий района и составит 99,5%. Это связано с недополучение продукции по озимым зерновым культурам. В 2022-2023 гг. планируем увеличить производство и получить рост соответственно по годам 100,25:100,35:100,4 %.  К 2024 году выручка от реализации сельскохозяйственной продукции составит 20612632 тыс.рублей, что составляет 117 % к уровню 2020 года.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Инвестиционная и строительная деятельность.</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В  2020 году объем инвестиций в основной капитал за счет всех источников финансирования (без субъектов малого предпринимательства) составил  382707 тыс.руб.,  по сравнению с 2019 годом индекс физического объема инвестиций составил 22,5  %. Объем инвестиций в основной капитал (за исключением бюджетных средств) составил 179618 тыс.руб.,  по сравнению с 2019 годом индекс физического объема инвестиций составил 11,9 %.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На территории Пристенского района введено в эксплуатацию  в 2020 году жилых домов общей  площадью  3512  кв. м., в 2019 году – 6054,2  кв.м., что на 2542,2 кв.м. меньше, чем в 2019 году. В том числе  построен один 4-х квартирный дом п. Кировский, Пристенского района Курской области  стоимостью 5077 тыс. рублей построенный для детей сирот и детей, находящихся на попечении. Жилищное строительство, осуществленное населением в 2020 году составило 3354 кв. 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2021 году по плану, утвержденному комитетом строительства Курской области, ввод жилья по Пристенскому району составит  6090 кв.м., в том числе ИЖС 5932 кв.м.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2022, 2023, 2024 годах планируется   строить по одному  4-х квартирному  дому для детей сирот   площадью по 158 кв.м. каждый.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2022 году планируется ввести в эксплуатацию 6059 кв.м;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2023 году планируется ввести в эксплуатацию 6630 кв.м;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2024 году планируется ввести в эксплуатацию 6967 кв.м.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На территории Пристенского района осуществляет свою деятельность предприятия АПХ «Мираторг». В АПХ «Мираторг», входят сельскохозяйственных предприятия, функционирующие на территории Пристенского района: ООО «Свинокомплекс «Пристенский», ООО «Пристенская зерновая компания», ООО «Обоянская зерновая компания», ООО «Возрождение», ОП ЗАО «СК Короча» в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Объем инвестиций в 2020 году, который приходился на сельское хозяйство- 1236587  тыс.руб.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Кроме этого в 2020 году освоено:</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8861 тыс.руб.  на строительство и реконструкцию линий электропередач Пристенским подразделением ОАО "МРСК Центр" и ОАО «Курские электрические сети»;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- 8528 тыс.руб.- строительство водопроводов;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- 12962 тыс.руб. – инвестиции в торговлю-  покупка оборудования в магазинах Пятерочка, Магнит;</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- 55618 тыс.руб.- транспортировка и хранение;</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- 5077,0 – строительство домов для сирот;</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- 153835 тыс.руб.- деятельность в социальной сфере.</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2020 году в рамках федеральной целевой  программы "Комплексное развитие сельских территорий" законченно строительство объекта: "Водоснабжение д. Верхнеплоское Черновецкого сельсовета Пристенского района Курской области, протяженностью 4,7237 км, общей стоимостью           7 894,481 тыс. рублей, в том числе средства федерального бюджета -6 730,834 тыс.руб. и средств местного бюджета -157,890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целях реализации  регионального проекта "Содействие занятости  женщин - создание условий дошкольного образования для детей  в возрасте до 3-х  лет" национального проекта "Демография" в 2020 году начато строительство объекта: "Пристройка зданий ясельных групп  к МКДОУ "Детский сад "Сказка" Пристенского района Курской области", сметной  стоимостью  65406,030 тыс. руб. на 50 мест., строительство объекта будет производиться в течении двух лет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2020 году- освоены средства в размере- 18 409,465 тыс. рублей, в т.ч. фед. бюд. -17 680,450 тыс. руб., обл. бюдж.-360,826 тыс. руб., местный бюджет- 368,189 тыс. 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2021 году- будут освоены средства в размере 46996,565 тыс. руб.,  в т.ч. фед. бюджет-17266,485 тыс.руб., обл. бюдж.-29260,114 тыс.руб., местный бюджет.- 469,966 тыс.рублей.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целях реализации национального проекта "Современная школа" национального проекта  "Образование" в 2020 году начато строительство объекта: "МКОУ Черновецкая средняя общеобразовательная школа Пристенского района Курской области" на 100 мест, сметной стоимостью  212492,592тыс. руб., в т.ч. по годам: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2020году – 32323,53012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году- 180 169,06188 тыс.руб., в т. ч.  фед. бюджет-102636,487 тыс.руб., обл. бюдж.-75828,02956 тыс.руб.,  местный бюджет -1704,54532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Для обеспечения электроэнергией объекта строительства "МКОУ Черновецкая средняя общеобразовательная школа" Пристенского района Курской области" в 2021 году будет произведена реконструкция объекта: "Вынос  земельного участка, принадлежащей ему  воздушной линии электропередач ВЛ-10кВ №11 (инв. №00002314) от ПС 35/10 кВ "Нива" в пролетах опор №133-138», кадастровый № 46:19:190101:526, по адресу: Курская область, Пристенский район, с. Черновец" протяженностью 0,4 км, стоимостью 696 143,99  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2020 году законченно строительство объекта:  "Физкультурно-оздоровительный комплекс со встроенно-пристроенным зданием бассейна в п. Пристень, Пристенского района Курской области. Корректировка. Этап 2"  стоимостью 71 144,054 тыс.рублей. Бассейн пропускной способностью 40 человек в смену, общей площадью 1384,51 кв.м. Средства в 2020 году в бюджете муниципального района в сумме 71 144,054 тыс. рублей, в том числе за счет средств областного бюджета  - 67586,851  тыс.руб. и средств местного бюджета 3557,203 тыс.руб.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2020 году в рамках федеральной программы "Комплексное развитие сельских территорий" завершено строительство объекта: "Автомобильная дорога местного значения до социально-значимого объекта, расположенного в д. Верхнее Котово Котовского сельсовета Пристенского района Курской области" протяженностью 1,493 км, стоимостью 42 902,830 тыс.руб., в т.ч. фед. бюджет- 28 209,720 тыс.руб.- средства областного бюджета -13 835,073 тыс.руб., средства местного бюджета - 858,057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2021 году объем инвестиций в основной капитал за счет всех источников финансирования (без субъектов малого предпринимательства) прогнозируется  в сумме 809744 тыс.руб.,  по сравнению с 2020 годом индекс физического объема инвестиций составит 201,3 %. Объем инвестиций в основной капитал (за исключением бюджетных средств) составит  558256 тыс.руб. по сравнению с 2020 годом индекс физического объема инвестиций составит 295,72 %.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Предполагается освоить в 2021году:</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на сельское хозяйство- 60000 тыс.руб. В ООО «Возрождение», ООО «Пристенской зерновой компанией», ООО «Свинокомплекс «Пристенский» будет осуществлятся приобретение техники, оборудования.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696 тыс.руб.  на строительство и реконструкцию линий электропередач Пристенским подразделением ОАО "МРСК Центр" и ОАО «Курские электрические сети»;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- 8388 тыс.руб.- строительство водопроводов;</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- 50 тыс.руб. – инвестиции в торговлю- покупка торгового оборудования;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- 5120 – строительство домов для сирот.</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- 237680 тыс.руб.- деятельность в соц. сфере.</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lastRenderedPageBreak/>
        <w:t>В 2021 году в рамках государственной программы Курской области «Воспроизводство и использование природных ресурсов, охрана окружающей среды в Курской области" начата реконструкция объекта: «Водоснабжение с.Пселец Пристенского района Курской области. Реконструкция" протяженностью 711 м, стоимостью 1532,92 тыс.руб., в т.ч. средства областного бюджета -1379,628 тыс.руб., средства местного бюджета – 153,292 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начата реконструкция объекта: «Водоснабжение с. 2-е Плоское Ярыгинского сельсовета Пристенского района Курской области. Реконструкция" протяженностью 540м, стоимостью 6855,05 тыс.руб., в т.ч. средства областного бюджета -6169,545 тыс.руб., средства местного бюджета – 685,505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Котельная по ул. Парковая (Детского сада) поселка Пристень Пристенского района Курской области. Реконструкция. стоимость16355,627 в том числе областного бюджета- 15537,7846  , средства местного бюджета- 817,781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2022 году объем инвестиций в основной капитал за счет всех источников финансирования (без субъектов малого предпринимательства) прогнозируется  в сумме 131004 тыс.руб.,  по сравнению с 2021 годом индекс физического объема инвестиций составит 15,3 %. Объем инвестиций в основной капитал (за исключением бюджетных средств) составит  31025 тыс.руб. по сравнению с 2021 годом индекс физического объема инвестиций составит 5,28 %.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2022 году объем инвестиций в основной капитал за счет всех источников финансирования (без субъектов малого предпринимательства) прогнозируется  по консервативному варианту в сумме 130154 тыс.руб. Изменения по консервативному варианту предусмотрено за счет предприятий сельского хозяйства.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 году планируется реконструкция объекта: "Водоснабжение п.Пристень, Пристенского района Курской области" протяженностью 2123,5 км сметной стоимостью 12116,27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 году планируется построить объект: "Газоснабжение п.Пристень, Пристенского района Курской области» протяженностью 3057км, сметной стоимостью 5024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 году по программе "Комплексное развитие сельских территорий" планируется построить следующие объекты:</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"Автомобильная  дорога  к складам  сельхозпродукции в п. Комсомольский  Ярыгинского сельсовета Пристенского района Курской области",  протяженностью 0,405 км,  ориентировочной стоимостью -6 601,45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"Автомобильная  дорога  к объекту хранения сельхозпродукции в с.  Верхняя Ольшанка Пристенского района Курской области",  протяженностью 0,663 км,  ориентировочной  стоимостью -   13 090,93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"Автомобильная  дорога  местного значения до социально-значимого объекта  " Детский оздоровительный лагерь"  расположенный в п. Кировский Пристенского района Курской области",  протяженностью 1 км, стоимостью -21887,301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2023 году объем инвестиций в основной капитал за счет всех источников финансирования (без субъектов малого предпринимательства) прогнозируется  в сумме 101558 тыс.руб.,  по сравнению с 2022 годом индекс физического объема инвестиций составит 73,4 %. Объем инвестиций в основной капитал (за исключением бюджетных средств) составит  31140 тыс.руб. по сравнению с 2022 годом индекс физического объема инвестиций составит 95,1 %.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2023 году объем инвестиций в основной капитал за счет всех источников финансирования (без субъектов малого предпринимательства) прогнозируется  по консервативному варианту в сумме 101108 тыс.руб. Изменения по консервативному варианту предусмотрено за счет предприятий сельского хозяйства.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2023 году по программе "Комплексное развитие сельских территорий" планируется построить следующие объекты:</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Автомобильная  дорога  к социально-значимому объекту ДК с. Средняя Ольшанка   Пристенского района Курской области",  протяженностью 1,0 км, ориентировочной стоимостью - 14 427,0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"Автомобильная  дорога  к социально-значимому объекту (магазин) в п. Вихровский  Ярыгинского сельсовета Пристенского района Курской области",  протяженностью 0,788 км, ориентировочной стоимостью – 9 285,62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2024 году объем инвестиций в основной капитал за счет всех источников финансирования (без субъектов малого предпринимательства) прогнозируется  в сумме 359713 тыс.руб.,  по сравнению с 2023 годом индекс физического объема инвестиций составит 335,4 %. Объем инвестиций в основной капитал (за исключением бюджетных средств) составит  31210 тыс.руб. по сравнению с 2023 годом индекс физического объема инвестиций составит 94,9 %.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2024 году объем инвестиций в основной капитал за счет всех источников финансирования (без субъектов малого предпринимательства) прогнозируется  по консервативному варианту в сумме 42530 тыс.руб. Изменения по консервативному варианту предусмотрено за счет предприятий сельского хозяйства, не предполагается начало строительства в 2024 году "МКОУ Кировская средняя общеобразовательная школа Пристенского района Курской области".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2024 году по программе "Комплексное развитие сельских территорий" планируется построить следующие объекты:</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-"Автомобильная  дорога  общего пользования местного значения по ул.Нижний Дубовец в с. Нагольное Пристенского района Курской области",  протяженностью 2,0 км, ориентировочной стоимостью - 28 854,0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-"Автомобильная  дорога  к социально-значимому объекту,  ООО "Ржавское ХПП "  Пристенского района Курской области протяженностью 0,35 км, ориентировочной стоимостью 6 291,59 тыс.рублей.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2024 -2025 году планируется строительство "МКОУ Кировская средняя общеобразовательная школа Пристенского района Курской области", ориентировочной стоимостью 633565,61 тыс.руб. На 2024 год  предполагается 1 этап строительства. В консервативном варианте не предполагается начало строительства в 2024 году.</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Крупных и средних строительных организаций в районе нет, зарегистрированы малые предприятия ООО «Универсалстройсервис»,     ООО  «Петрострой». Строительство объектов социальной сферы осуществляется подрядными организациями выигравшими конкурс.</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Потребительский  рынок товаров и услуг</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r w:rsidRPr="005522B0">
        <w:rPr>
          <w:rFonts w:ascii="Tahoma" w:eastAsia="Times New Roman" w:hAnsi="Tahoma" w:cs="Tahoma"/>
          <w:color w:val="000000"/>
          <w:sz w:val="13"/>
          <w:szCs w:val="13"/>
          <w:lang w:eastAsia="ru-RU"/>
        </w:rPr>
        <w:t>Оборот розничной торговли (по крупным и средним организациям) в 2020 году составил 411914,0 тыс. рублей. Индекс физического объема оборота розничной торговли составил  115,5%.</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Рост оборота розничной торговли обеспечен за счет стабильного развития потребительского рынка и совершенствования форм торговли. В феврале 2020 года в п.Пристень  открылся магазин ТОСП ООО "Агроторг" – Пятерочка. Проведены текущие ремонты в сельских магазинах.  Потребительский рынок района  в настоящее время характеризуется  наличием полного ассортимента товаров первой необходимости в торговой сети района.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2021 году оборот розничной торговли ожидается в сумме 439331,0 тыс. рублей. Индекс физического объема оборота розничной торговли составит 101,0%.</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2022-2024 годах прогнозируется рост оборота розничной торговли, что будет обеспечиваться  за счет роста доходов населения и  совершенствования форм торговли.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Оборот общественного питания в 2020 году составил 7274,0 тыс.рублей.  Индекс физического объема составил 118,8%.</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Услуги общественного питания (по крупным и средним организациям) в районе предоставляют  столовая ИП Алексеева Т.Д., кафе ИП Семенова Г.Г., кафе «Армения», кафе Воронежского филиала ОАО «Железнодорожная торговая компания», бар ООО «Софья», кафе «Village», 15 объектов общественного питания закрытой сети (школьные столовые).</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По оценке 2021 года оборот общественного питания составит 7881,8 тыс. рублей. Индекс физического объема оборота общественного питания  составит 103,0%.</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Прогнозом на 2022-2024 годы предусматривается ежегодный рост оборота общественного питания в связи с планируемым улучшением ситуации с  COVID – 19.</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Объем платных услуг населению (по крупным и средним организациям) в 2020 году составил 96355,6 тыс. рублей. Индекс физического объема  платных услуг составил 92,4%. Платные услуги оказывались ОБУЗ «Пристенская ЦРБ»,  ОБУ «Станция по борьбе с болезнями животных»,  ФОК «Русич»,            МКУК «Пристенский РДК» и дошкольными учреждениями района. Снижение индекса физического объема платных услуг связано с тем, что в связи с введением режима повышенной готовности, связанной с угрозой распространения в Курской области новой короновирусной инфекции (COVID – 19) предприятия, оказывающие платные услуги осуществляли свою деятельность не в полном объеме (работа была приостановлена).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объем платных услуг ожидается в сумме 100420,4 тыс.руб. Индекс физического объема  платных услуг составит 100,5%.</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 – 2024 годах по объему платных услуг прогнозируется ежегодный рост в связи с планируемым улучшением ситуации с  COVID – 19 и увеличением количества оказываемых платных услуг.</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целях сохранения положительных тенденций развития потребительского рынка в Пристенском районе планируется повышение технического уровня предприятий торговли, общественного питания, бытовых услуг путем реконструкции и модернизации действующих предприятий, а также  внедрение новых видов и форм обслуживания, повышение качества и культуры обслуживания.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Финансовые результаты</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lastRenderedPageBreak/>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По итогам работы за 2020 год в целом по Пристенскому району по полному кругу организаций с учетом организаций, находящихся на специальных налоговых режимах, получен положительный финансовый результат 5 577 454 тыс. рублей. Сумма прибыли по прибыльным организациям составила 5 580 539 тыс. рублей, сумма убытков по убыточным –   3085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Прибыльными были  15 организаций или 75,0%, убыточными –  5 или 25 %.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Из 29 организаций, включенных в отчет, 10 - сельскохозяйственных, строительство- 2,  1 – транспорта и хранения, 4 - торговля оптовая и розничная, 12 – других видов деятельности (в т.ч. общественные организации).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Без учета организаций, находившихся на специальных налоговых режимах, в целом по району получен положительный финансовый результат в сумме 5577391 тыс. рублей.</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по организациям, применяющим общую систему налогообложения, ожидается положительный финансовый результат - по базовому варианту в сумме 5 912 286  тыс.руб. При этом сумма прибыли по прибыльным организациям составит 5 912 286  тыс. рублей, сумма убытков по убыточным организациям – 0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Наибольшая сумма прибыли ожидается в сельском хозяйстве –5909186 тыс. руб. 88,3 % всей прибыли по предприятиям  сельского хозяйства ожидается по двум организациям: ООО «Свинокомплекс «Пристенский» (1881732 тыс.руб.), и ООО «Пристенская зерновая компания» (2980500 тыс.руб.).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2021 году из-за неблагоприятных погодных условий озимые культуры погибли на площади 11870 га. поэтому планируется снижение  производства и реализации зерновых культур на 13 %. Увеличены посевы сахарной свеклы, яровой пшеницы, ячменя, кукурузы на зерно и сои. Яровыми культурами необходимо было пересеять озимый клин.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Доля в объеме общей выручки от животноводства более 63% . В растениеводстве хозяйства района  при составлении структуры посевных площадей руководствуются не только грамотными  севооборотами полей, но и рыночным спросом и ценой на продукцию. Поэтому последние года сельхозпредприятия района увеличивают посевы зерновых (в частности кукурузы на зерно) и сои.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в районе планируется снижение производства сельскохозяйственной продукции и выручки сельхозпредприятий района и составит 99,5%.</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r w:rsidRPr="005522B0">
        <w:rPr>
          <w:rFonts w:ascii="Tahoma" w:eastAsia="Times New Roman" w:hAnsi="Tahoma" w:cs="Tahoma"/>
          <w:color w:val="000000"/>
          <w:sz w:val="13"/>
          <w:szCs w:val="13"/>
          <w:lang w:eastAsia="ru-RU"/>
        </w:rPr>
        <w:t>Предыдущим прогнозом</w:t>
      </w:r>
      <w:r w:rsidRPr="005522B0">
        <w:rPr>
          <w:rFonts w:ascii="Tahoma" w:eastAsia="Times New Roman" w:hAnsi="Tahoma" w:cs="Tahoma"/>
          <w:b/>
          <w:bCs/>
          <w:color w:val="000000"/>
          <w:sz w:val="13"/>
          <w:lang w:eastAsia="ru-RU"/>
        </w:rPr>
        <w:t> </w:t>
      </w:r>
      <w:r w:rsidRPr="005522B0">
        <w:rPr>
          <w:rFonts w:ascii="Tahoma" w:eastAsia="Times New Roman" w:hAnsi="Tahoma" w:cs="Tahoma"/>
          <w:color w:val="000000"/>
          <w:sz w:val="13"/>
          <w:szCs w:val="13"/>
          <w:lang w:eastAsia="ru-RU"/>
        </w:rPr>
        <w:t>в целом по району на 2020 год прогнозировалась прибыль прибыльных организаций 3484414 тыс.руб. Изменения произошли за счет работы сельскохозяйственных предприятий- прогнозировалось прибыль  по сельскому хозяйству – 3480198 руб., получена прибыль – 5574519 тыс.руб. Объемы производства в 2020 году сельскохозяйственной продукции увеличились как в растениеводстве так и животноводстве. Увеличение выручки произошло из-за роста цен  на продукцию растениеводства, в частности по зерну на 10%, сахарная свекла в 2 раза, подсолнечник на 43 % и соя на 27 %. Выручка от реализации продукции растениеводстве за 2020 увеличилась на 55% в сравнении с прошлым годом. Продукции животноводства реализовано на уровне 2019 года. Себестоимость реализованной продукции увеличилась на 11 % в сравнении с 2019 годом.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По предприятию ОАО «Ржавское ХПП»  в 2020 году была получена  прибыль в сумме - 2872 тыс.руб.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Убыточных организаций в 2022-2024 годах не ожидается.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По данным организаций района в            2022-2024 годах основным фактором, влияющим на рост прибыли, будет рост объемов реализации продукции.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При разработке прогноза по сельскому хозяйству на 2021 год, по сравнению с 2020 года, ожидается незначительное увеличение  прибыли по следующим сельскохозяйственным организациям, занимающие производством мяса свинины – ООО"Свинокомплекс "Пристенский" с  прибыли 1849074 тыс.руб. в 2020 году до 1881732 тыс.руб. ожидаемой в  2021 году, ООО "Возрождение" с  прибыли 815523 тыс.руб. в 2020 году до 825096 тыс.руб. ожидаемой в 2021 году, это связано с тем, что уменьшилась цена реализации продукции.</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2021 году из-за неблагоприятных погодных условий озимые культуры погибли на площади 11870 га, поэтому планируется снижение  производства и реализации зерновых культур на 13 %. Увеличены посевы сахарной свеклы, яровой пшеницы, ячменя, кукурузы на зерно и сои. Яровыми культурами необходимо было пересеять озимый клин.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Доля в объеме общей выручки от животноводства более 63%. В 2021 году в районе планируется снижение производства сельскохозяйственной продукции и выручки сельхозпредприятий района которая  составит 99,5%. Это связано с недополучением продукции по озимым зерновым культурам.</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Разница в базовом, консервативном варианте на 2022-2024 год прогнозируется за счет предприятий сельского хозяйства.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color w:val="000000"/>
          <w:sz w:val="13"/>
          <w:lang w:eastAsia="ru-RU"/>
        </w:rPr>
        <w:t>            </w:t>
      </w:r>
      <w:r w:rsidRPr="005522B0">
        <w:rPr>
          <w:rFonts w:ascii="Tahoma" w:eastAsia="Times New Roman" w:hAnsi="Tahoma" w:cs="Tahoma"/>
          <w:color w:val="000000"/>
          <w:sz w:val="13"/>
          <w:szCs w:val="13"/>
          <w:lang w:eastAsia="ru-RU"/>
        </w:rPr>
        <w:t> </w:t>
      </w:r>
      <w:r w:rsidRPr="005522B0">
        <w:rPr>
          <w:rFonts w:ascii="Tahoma" w:eastAsia="Times New Roman" w:hAnsi="Tahoma" w:cs="Tahoma"/>
          <w:b/>
          <w:bCs/>
          <w:color w:val="000000"/>
          <w:sz w:val="13"/>
          <w:lang w:eastAsia="ru-RU"/>
        </w:rPr>
        <w:t>Труд</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i/>
          <w:iCs/>
          <w:color w:val="000000"/>
          <w:sz w:val="13"/>
          <w:u w:val="single"/>
          <w:lang w:eastAsia="ru-RU"/>
        </w:rPr>
        <w:t>Базовый вариант.</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Расчетный фонд заработной платы за 2020 год, исходя из уплаченного налога на доходы физических лиц составил  1365532,9 тыс. рублей, по итогам согласования в июне 2021 года 1305296,7 тыс. рублей. Разница в фонде заработной платы составила  ( -60236,2 тыс. руб.).</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Разница в фонде заработной платы объясняется уплатой НДФЛ за единовременное вознаграждение по итогам 2019 года, выплаченное в 2020 году ООО «Возрождение», ООО «Свинокомплекс «Пристенский»» и уплатой НДФЛ фермерами и индивидуальными предпринимателями, которые в расчетный фонд заработной платы не включаются.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Фонд заработной платы в 2020 году в целом по району  составил        1305296,7 тыс.руб. и возрос по сравнению с 2019 годом на 11,8 %. Основной прирост обеспечен в  области «Сельское, лесное хозяйство, охота, рыболовство и рыбоводство» за счет роста объемов производства животноводческой и сельскохозяйственной продукции; в области «Обрабатывающие производства» за счет роста объемов производства мясокостной муки и высококачественных кормов для домашних животных; в области «Культуры» и в области «Образования» за счет выполнения плана  «дорожной карты» в соответствии с Указом Президента РФ от 07 мая 2012 г. № 597.</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В феврале 2020 года в п.Пристень  открыт магазин ТОСП ООО "Агроторг" - Пятерочка, что также привело к росту фонда заработной платы, среднесписочной численности работников и среднемесячной заработной платы.</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По оценке 2021 года фонд заработной платы составит 1386010,2 тыс.руб., что на 6,2% больше 2020 года.</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2022-2024 годах фонд заработной платы прогнозируется с ростом на 6,3% в 2022 году до 7,1% в 2024 году.</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2020 году численность занятых в экономике района составила 3278 человек  и составила 101,4% к уровню прошлого года. Основной прирост обеспечен в  области «Сельское, лесное хозяйство, охота, рыболовство и рыбоводство» за счет роста объемов производства животноводческой и сельскохозяйственной продукции; в области «Обрабатывающие производства» за счет роста объемов производства мясокостной муки и высококачественных кормов для домашних животных.</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По оценке 2021 года численность занятых составит 3281 человек и составит 100,1%  к уровню 2020 года. Это связано с увеличением среднесписочной численности за счет открытия еще одного магазина «Пятерочка» в п.Пристень.</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2022-2024 годах увеличение численности не планируется.</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Среднемесячная заработная плата одного работающего в 2020 году составила 33183,3 рублей и возросла по сравнению с предыдущим годом на 110,3%.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Среднемесячная заработная плата одного работающего в 2021 году ожидается на уровне 35202,9 рубля  с ростом к 2020 году на 6,1%.</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Рост среднемесячной заработной платы по годам составит: 2022 год – 106,3%, 2023 год – 106,8%, 2024 год – 107,1%.</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b/>
          <w:bCs/>
          <w:i/>
          <w:iCs/>
          <w:color w:val="000000"/>
          <w:sz w:val="13"/>
          <w:u w:val="single"/>
          <w:lang w:eastAsia="ru-RU"/>
        </w:rPr>
        <w:t>Консервативный вариант</w:t>
      </w:r>
    </w:p>
    <w:p w:rsidR="005522B0" w:rsidRPr="005522B0" w:rsidRDefault="005522B0" w:rsidP="005522B0">
      <w:pPr>
        <w:shd w:val="clear" w:color="auto" w:fill="EEEEEE"/>
        <w:spacing w:after="0" w:line="240" w:lineRule="auto"/>
        <w:jc w:val="both"/>
        <w:rPr>
          <w:rFonts w:ascii="Tahoma" w:eastAsia="Times New Roman" w:hAnsi="Tahoma" w:cs="Tahoma"/>
          <w:color w:val="000000"/>
          <w:sz w:val="13"/>
          <w:szCs w:val="13"/>
          <w:lang w:eastAsia="ru-RU"/>
        </w:rPr>
      </w:pPr>
      <w:r w:rsidRPr="005522B0">
        <w:rPr>
          <w:rFonts w:ascii="Tahoma" w:eastAsia="Times New Roman" w:hAnsi="Tahoma" w:cs="Tahoma"/>
          <w:color w:val="000000"/>
          <w:sz w:val="13"/>
          <w:szCs w:val="13"/>
          <w:lang w:eastAsia="ru-RU"/>
        </w:rPr>
        <w:t>            В условиях снижения численности рабочей силы (экономически активного населения)  фонд заработной платы в 2022 году прогнозируется в сумме 1463626,0 тыс.руб, в 2023  году в сумме 1554370,0 тыс.руб, в 2024 году в сумме 1655404,0 тыс.руб, что меньше прогнозируемого фонда заработной платы в базовом и целевом вариантах.</w:t>
      </w:r>
    </w:p>
    <w:p w:rsidR="00560C54" w:rsidRPr="005522B0" w:rsidRDefault="00560C54" w:rsidP="005522B0"/>
    <w:sectPr w:rsidR="00560C54" w:rsidRPr="005522B0"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72986"/>
    <w:rsid w:val="000C1F83"/>
    <w:rsid w:val="001303FB"/>
    <w:rsid w:val="00251996"/>
    <w:rsid w:val="002670FE"/>
    <w:rsid w:val="002F292A"/>
    <w:rsid w:val="00322BD3"/>
    <w:rsid w:val="00342B27"/>
    <w:rsid w:val="00346B5F"/>
    <w:rsid w:val="003B2D2C"/>
    <w:rsid w:val="003E3606"/>
    <w:rsid w:val="00422965"/>
    <w:rsid w:val="0043338B"/>
    <w:rsid w:val="004571CD"/>
    <w:rsid w:val="00465FE5"/>
    <w:rsid w:val="004F20B9"/>
    <w:rsid w:val="00537B9E"/>
    <w:rsid w:val="005522B0"/>
    <w:rsid w:val="00560C54"/>
    <w:rsid w:val="00564B05"/>
    <w:rsid w:val="005B1BA1"/>
    <w:rsid w:val="00603F45"/>
    <w:rsid w:val="006660A4"/>
    <w:rsid w:val="006804A3"/>
    <w:rsid w:val="006A4ABA"/>
    <w:rsid w:val="008B7BB0"/>
    <w:rsid w:val="008F0A8E"/>
    <w:rsid w:val="009016F6"/>
    <w:rsid w:val="009257BA"/>
    <w:rsid w:val="00974783"/>
    <w:rsid w:val="009A0B0E"/>
    <w:rsid w:val="00A24E12"/>
    <w:rsid w:val="00AC7005"/>
    <w:rsid w:val="00BA539E"/>
    <w:rsid w:val="00BC3822"/>
    <w:rsid w:val="00CF3797"/>
    <w:rsid w:val="00D83DEE"/>
    <w:rsid w:val="00DB02A6"/>
    <w:rsid w:val="00DF21E8"/>
    <w:rsid w:val="00E567BA"/>
    <w:rsid w:val="00EA2473"/>
    <w:rsid w:val="00EC12FC"/>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s>
</file>

<file path=word/webSettings.xml><?xml version="1.0" encoding="utf-8"?>
<w:webSettings xmlns:r="http://schemas.openxmlformats.org/officeDocument/2006/relationships" xmlns:w="http://schemas.openxmlformats.org/wordprocessingml/2006/main">
  <w:divs>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5270</Words>
  <Characters>30042</Characters>
  <Application>Microsoft Office Word</Application>
  <DocSecurity>0</DocSecurity>
  <Lines>250</Lines>
  <Paragraphs>70</Paragraphs>
  <ScaleCrop>false</ScaleCrop>
  <Company>SPecialiST RePack</Company>
  <LinksUpToDate>false</LinksUpToDate>
  <CharactersWithSpaces>35242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2023-10-27T08:58:00Z</dcterms:created>
  <dcterms:modified xsi:type="dcterms:W3CDTF">2023-10-27T09:32:00Z</dcterms:modified>
</cp:coreProperties>
</file>